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4D5B9" w14:textId="2626A850" w:rsidR="00183B47" w:rsidRPr="0042776C" w:rsidRDefault="00183B47" w:rsidP="00183B47">
      <w:pPr>
        <w:widowControl w:val="0"/>
        <w:tabs>
          <w:tab w:val="right" w:pos="9639"/>
        </w:tabs>
        <w:overflowPunct w:val="0"/>
        <w:autoSpaceDE w:val="0"/>
        <w:autoSpaceDN w:val="0"/>
        <w:adjustRightInd w:val="0"/>
        <w:jc w:val="both"/>
        <w:textAlignment w:val="baseline"/>
        <w:rPr>
          <w:rFonts w:ascii="Times New Roman" w:eastAsia="SimSun" w:hAnsi="Times New Roman"/>
          <w:b/>
          <w:noProof/>
          <w:sz w:val="24"/>
          <w:szCs w:val="20"/>
          <w:lang w:val="en-US"/>
        </w:rPr>
      </w:pPr>
      <w:r w:rsidRPr="0042776C">
        <w:rPr>
          <w:rFonts w:ascii="Times New Roman" w:eastAsia="SimSun" w:hAnsi="Times New Roman"/>
          <w:b/>
          <w:noProof/>
          <w:sz w:val="24"/>
          <w:szCs w:val="20"/>
          <w:lang w:val="en-US" w:eastAsia="zh-CN"/>
        </w:rPr>
        <w:t>3GPP TSG-RAN2#12</w:t>
      </w:r>
      <w:r w:rsidR="00083AA6" w:rsidRPr="0042776C">
        <w:rPr>
          <w:rFonts w:ascii="Times New Roman" w:eastAsia="SimSun" w:hAnsi="Times New Roman"/>
          <w:b/>
          <w:noProof/>
          <w:sz w:val="24"/>
          <w:szCs w:val="20"/>
          <w:lang w:val="en-US" w:eastAsia="zh-CN"/>
        </w:rPr>
        <w:t>1</w:t>
      </w:r>
      <w:r w:rsidR="0042776C" w:rsidRPr="0042776C">
        <w:rPr>
          <w:rFonts w:ascii="Times New Roman" w:eastAsia="SimSun" w:hAnsi="Times New Roman"/>
          <w:b/>
          <w:noProof/>
          <w:sz w:val="24"/>
          <w:szCs w:val="20"/>
          <w:lang w:val="en-US" w:eastAsia="zh-CN"/>
        </w:rPr>
        <w:t>-bis electro</w:t>
      </w:r>
      <w:r w:rsidR="0042776C">
        <w:rPr>
          <w:rFonts w:ascii="Times New Roman" w:eastAsia="SimSun" w:hAnsi="Times New Roman"/>
          <w:b/>
          <w:noProof/>
          <w:sz w:val="24"/>
          <w:szCs w:val="20"/>
          <w:lang w:val="en-US" w:eastAsia="zh-CN"/>
        </w:rPr>
        <w:t>nic</w:t>
      </w:r>
      <w:r w:rsidRPr="0042776C">
        <w:rPr>
          <w:rFonts w:ascii="Times New Roman" w:eastAsia="SimSun" w:hAnsi="Times New Roman"/>
          <w:b/>
          <w:noProof/>
          <w:sz w:val="24"/>
          <w:szCs w:val="20"/>
          <w:lang w:val="en-US" w:eastAsia="zh-CN"/>
        </w:rPr>
        <w:tab/>
        <w:t>R2-</w:t>
      </w:r>
      <w:r w:rsidR="00FA5C5A" w:rsidRPr="00FA5C5A">
        <w:rPr>
          <w:rFonts w:ascii="Times New Roman" w:eastAsia="SimSun" w:hAnsi="Times New Roman"/>
          <w:b/>
          <w:noProof/>
          <w:sz w:val="24"/>
          <w:szCs w:val="20"/>
          <w:lang w:val="en-US" w:eastAsia="zh-CN"/>
        </w:rPr>
        <w:t>2303650</w:t>
      </w:r>
    </w:p>
    <w:p w14:paraId="7857F970" w14:textId="249B5CE7" w:rsidR="00183B47" w:rsidRPr="007022BC" w:rsidRDefault="0042776C" w:rsidP="00183B47">
      <w:pPr>
        <w:widowControl w:val="0"/>
        <w:tabs>
          <w:tab w:val="right" w:pos="9639"/>
        </w:tabs>
        <w:overflowPunct w:val="0"/>
        <w:autoSpaceDE w:val="0"/>
        <w:autoSpaceDN w:val="0"/>
        <w:adjustRightInd w:val="0"/>
        <w:jc w:val="both"/>
        <w:textAlignment w:val="baseline"/>
        <w:rPr>
          <w:rFonts w:ascii="Times New Roman" w:eastAsia="SimSun" w:hAnsi="Times New Roman"/>
          <w:b/>
          <w:noProof/>
          <w:sz w:val="24"/>
          <w:szCs w:val="20"/>
          <w:lang w:eastAsia="zh-CN"/>
        </w:rPr>
      </w:pPr>
      <w:r w:rsidRPr="0042776C">
        <w:rPr>
          <w:rFonts w:ascii="Times New Roman" w:eastAsia="SimSun" w:hAnsi="Times New Roman"/>
          <w:b/>
          <w:noProof/>
          <w:sz w:val="24"/>
          <w:szCs w:val="20"/>
          <w:lang w:eastAsia="zh-CN"/>
        </w:rPr>
        <w:t>April 17-26, 20</w:t>
      </w:r>
      <w:r w:rsidR="00083AA6" w:rsidRPr="00083AA6">
        <w:rPr>
          <w:rFonts w:ascii="Times New Roman" w:eastAsia="SimSun" w:hAnsi="Times New Roman"/>
          <w:b/>
          <w:noProof/>
          <w:sz w:val="24"/>
          <w:szCs w:val="20"/>
          <w:lang w:eastAsia="zh-CN"/>
        </w:rPr>
        <w:t>2</w:t>
      </w:r>
      <w:r w:rsidR="00083AA6">
        <w:rPr>
          <w:rFonts w:ascii="Times New Roman" w:eastAsia="SimSun" w:hAnsi="Times New Roman"/>
          <w:b/>
          <w:noProof/>
          <w:sz w:val="24"/>
          <w:szCs w:val="20"/>
          <w:lang w:eastAsia="zh-CN"/>
        </w:rPr>
        <w:t>3</w:t>
      </w:r>
    </w:p>
    <w:p w14:paraId="620938B8" w14:textId="77777777" w:rsidR="00183B47" w:rsidRPr="007022BC" w:rsidRDefault="00183B47" w:rsidP="00183B47">
      <w:pPr>
        <w:widowControl w:val="0"/>
        <w:overflowPunct w:val="0"/>
        <w:autoSpaceDE w:val="0"/>
        <w:autoSpaceDN w:val="0"/>
        <w:adjustRightInd w:val="0"/>
        <w:jc w:val="both"/>
        <w:textAlignment w:val="baseline"/>
        <w:rPr>
          <w:rFonts w:ascii="Times New Roman" w:eastAsia="SimSun" w:hAnsi="Times New Roman"/>
          <w:b/>
          <w:color w:val="000000"/>
          <w:kern w:val="2"/>
          <w:sz w:val="24"/>
          <w:lang w:eastAsia="zh-CN"/>
        </w:rPr>
      </w:pPr>
    </w:p>
    <w:p w14:paraId="16D1CE93" w14:textId="0677666F" w:rsidR="00183B47" w:rsidRPr="007022BC" w:rsidRDefault="00183B47" w:rsidP="00183B47">
      <w:pPr>
        <w:jc w:val="both"/>
        <w:rPr>
          <w:rFonts w:ascii="Times New Roman" w:eastAsia="SimSun" w:hAnsi="Times New Roman"/>
          <w:b/>
          <w:bCs/>
          <w:sz w:val="24"/>
          <w:szCs w:val="20"/>
          <w:lang w:eastAsia="zh-CN"/>
        </w:rPr>
      </w:pPr>
      <w:r w:rsidRPr="007022BC">
        <w:rPr>
          <w:rFonts w:ascii="Times New Roman" w:eastAsia="MS Mincho" w:hAnsi="Times New Roman"/>
          <w:b/>
          <w:bCs/>
          <w:sz w:val="24"/>
          <w:szCs w:val="20"/>
        </w:rPr>
        <w:t>Agenda</w:t>
      </w:r>
      <w:r w:rsidRPr="007022BC">
        <w:rPr>
          <w:rFonts w:ascii="Times New Roman" w:eastAsia="SimSun" w:hAnsi="Times New Roman"/>
          <w:b/>
          <w:bCs/>
          <w:kern w:val="2"/>
          <w:sz w:val="24"/>
          <w:lang w:eastAsia="zh-CN"/>
        </w:rPr>
        <w:t xml:space="preserve"> item:</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r w:rsidR="006E6E90">
        <w:rPr>
          <w:rFonts w:ascii="Times New Roman" w:eastAsia="SimSun" w:hAnsi="Times New Roman"/>
          <w:b/>
          <w:bCs/>
          <w:kern w:val="2"/>
          <w:sz w:val="24"/>
          <w:lang w:eastAsia="zh-CN"/>
        </w:rPr>
        <w:t>7</w:t>
      </w:r>
      <w:r>
        <w:rPr>
          <w:rFonts w:ascii="Times New Roman" w:eastAsia="SimSun" w:hAnsi="Times New Roman"/>
          <w:b/>
          <w:bCs/>
          <w:kern w:val="2"/>
          <w:sz w:val="24"/>
          <w:lang w:eastAsia="zh-CN"/>
        </w:rPr>
        <w:t>.4.2.1</w:t>
      </w:r>
    </w:p>
    <w:p w14:paraId="09EEAE2E" w14:textId="77777777" w:rsidR="00183B47" w:rsidRPr="007022BC" w:rsidRDefault="00183B47" w:rsidP="00183B47">
      <w:pPr>
        <w:widowControl w:val="0"/>
        <w:tabs>
          <w:tab w:val="left" w:pos="1985"/>
        </w:tabs>
        <w:ind w:left="1985" w:hanging="1985"/>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Source:</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bookmarkStart w:id="0" w:name="OLE_LINK13"/>
      <w:bookmarkStart w:id="1" w:name="OLE_LINK14"/>
      <w:r w:rsidRPr="007022BC">
        <w:rPr>
          <w:rFonts w:ascii="Times New Roman" w:eastAsia="SimSun" w:hAnsi="Times New Roman"/>
          <w:b/>
          <w:bCs/>
          <w:kern w:val="2"/>
          <w:sz w:val="24"/>
          <w:lang w:eastAsia="zh-CN"/>
        </w:rPr>
        <w:t>Lenovo</w:t>
      </w:r>
      <w:bookmarkEnd w:id="0"/>
      <w:bookmarkEnd w:id="1"/>
    </w:p>
    <w:p w14:paraId="249CC6D9" w14:textId="3FE19BE5" w:rsidR="00183B47" w:rsidRPr="007022BC" w:rsidRDefault="00183B47" w:rsidP="00183B47">
      <w:pPr>
        <w:widowControl w:val="0"/>
        <w:tabs>
          <w:tab w:val="left" w:pos="1985"/>
        </w:tabs>
        <w:ind w:left="2103" w:hangingChars="873" w:hanging="2103"/>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Title:</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r>
        <w:rPr>
          <w:rFonts w:ascii="Times New Roman" w:eastAsia="SimSun" w:hAnsi="Times New Roman"/>
          <w:b/>
          <w:bCs/>
          <w:kern w:val="2"/>
          <w:sz w:val="24"/>
          <w:lang w:eastAsia="zh-CN"/>
        </w:rPr>
        <w:t xml:space="preserve"> </w:t>
      </w:r>
      <w:bookmarkStart w:id="2" w:name="_Hlk126995959"/>
      <w:r w:rsidR="00230A0E">
        <w:rPr>
          <w:rFonts w:ascii="Times New Roman" w:eastAsia="SimSun" w:hAnsi="Times New Roman"/>
          <w:b/>
          <w:bCs/>
          <w:kern w:val="2"/>
          <w:sz w:val="24"/>
          <w:lang w:eastAsia="zh-CN"/>
        </w:rPr>
        <w:t xml:space="preserve">LTM </w:t>
      </w:r>
      <w:r w:rsidR="002A27A9">
        <w:rPr>
          <w:rFonts w:ascii="Times New Roman" w:eastAsia="SimSun" w:hAnsi="Times New Roman"/>
          <w:b/>
          <w:bCs/>
          <w:kern w:val="2"/>
          <w:sz w:val="24"/>
          <w:lang w:eastAsia="zh-CN"/>
        </w:rPr>
        <w:t xml:space="preserve">stage-2 </w:t>
      </w:r>
      <w:r w:rsidR="00230A0E">
        <w:rPr>
          <w:rFonts w:ascii="Times New Roman" w:eastAsia="SimSun" w:hAnsi="Times New Roman"/>
          <w:b/>
          <w:bCs/>
          <w:kern w:val="2"/>
          <w:sz w:val="24"/>
          <w:lang w:eastAsia="zh-CN"/>
        </w:rPr>
        <w:t>design models</w:t>
      </w:r>
      <w:bookmarkEnd w:id="2"/>
    </w:p>
    <w:p w14:paraId="2D8525C9" w14:textId="77777777" w:rsidR="00183B47" w:rsidRPr="007022BC" w:rsidRDefault="00183B47" w:rsidP="00183B47">
      <w:pPr>
        <w:widowControl w:val="0"/>
        <w:tabs>
          <w:tab w:val="left" w:pos="1985"/>
        </w:tabs>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Document for:</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t>Discussion and Decision</w:t>
      </w:r>
    </w:p>
    <w:p w14:paraId="68075746" w14:textId="77777777" w:rsidR="00183B47" w:rsidRPr="007022BC" w:rsidRDefault="00183B47" w:rsidP="00183B47">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eastAsia="SimSun" w:hAnsi="Times New Roman"/>
          <w:b/>
          <w:sz w:val="32"/>
          <w:szCs w:val="32"/>
          <w:lang w:eastAsia="zh-CN"/>
        </w:rPr>
      </w:pPr>
      <w:r w:rsidRPr="007022BC">
        <w:rPr>
          <w:rFonts w:ascii="Times New Roman" w:eastAsia="SimSun" w:hAnsi="Times New Roman"/>
          <w:b/>
          <w:sz w:val="32"/>
          <w:szCs w:val="32"/>
          <w:lang w:eastAsia="zh-CN"/>
        </w:rPr>
        <w:t>Introduction</w:t>
      </w:r>
    </w:p>
    <w:p w14:paraId="1493A605" w14:textId="77777777" w:rsidR="00171B35" w:rsidRDefault="006F5B61">
      <w:pPr>
        <w:rPr>
          <w:rFonts w:ascii="Garamond" w:hAnsi="Garamond"/>
        </w:rPr>
      </w:pPr>
      <w:r w:rsidRPr="0037741A">
        <w:rPr>
          <w:rFonts w:ascii="Garamond" w:hAnsi="Garamond"/>
        </w:rPr>
        <w:t xml:space="preserve">In last </w:t>
      </w:r>
      <w:r w:rsidR="00855555" w:rsidRPr="0037741A">
        <w:rPr>
          <w:rFonts w:ascii="Garamond" w:hAnsi="Garamond"/>
        </w:rPr>
        <w:t xml:space="preserve">but one </w:t>
      </w:r>
      <w:r w:rsidRPr="0037741A">
        <w:rPr>
          <w:rFonts w:ascii="Garamond" w:hAnsi="Garamond"/>
        </w:rPr>
        <w:t xml:space="preserve">meeting, both RAN1 and RAN2 made some progress in specification work on lower layer based mobility. </w:t>
      </w:r>
    </w:p>
    <w:p w14:paraId="371908D4" w14:textId="7D0DC6E1" w:rsidR="00C87332" w:rsidRPr="0037741A" w:rsidRDefault="00961E1D">
      <w:pPr>
        <w:rPr>
          <w:rFonts w:ascii="Garamond" w:hAnsi="Garamond"/>
        </w:rPr>
      </w:pPr>
      <w:r w:rsidRPr="0037741A">
        <w:rPr>
          <w:rFonts w:ascii="Garamond" w:hAnsi="Garamond"/>
        </w:rPr>
        <w:t xml:space="preserve">Following agreements were reached in </w:t>
      </w:r>
      <w:r w:rsidRPr="0037741A">
        <w:rPr>
          <w:rFonts w:ascii="Garamond" w:hAnsi="Garamond"/>
          <w:b/>
          <w:bCs/>
        </w:rPr>
        <w:t>RAN1#11</w:t>
      </w:r>
      <w:r w:rsidR="009B6443" w:rsidRPr="0037741A">
        <w:rPr>
          <w:rFonts w:ascii="Garamond" w:hAnsi="Garamond"/>
          <w:b/>
          <w:bCs/>
        </w:rPr>
        <w:t>2</w:t>
      </w:r>
      <w:r w:rsidRPr="0037741A">
        <w:rPr>
          <w:rFonts w:ascii="Garamond" w:hAnsi="Garamond"/>
        </w:rPr>
        <w:t>:</w:t>
      </w:r>
    </w:p>
    <w:p w14:paraId="6EE402FD" w14:textId="77777777" w:rsidR="00961E1D" w:rsidRDefault="00961E1D"/>
    <w:tbl>
      <w:tblPr>
        <w:tblStyle w:val="TableGrid"/>
        <w:tblW w:w="0" w:type="auto"/>
        <w:tblLook w:val="04A0" w:firstRow="1" w:lastRow="0" w:firstColumn="1" w:lastColumn="0" w:noHBand="0" w:noVBand="1"/>
      </w:tblPr>
      <w:tblGrid>
        <w:gridCol w:w="9350"/>
      </w:tblGrid>
      <w:tr w:rsidR="002903AC" w:rsidRPr="003A5C3F" w14:paraId="35DD778C" w14:textId="77777777" w:rsidTr="002903AC">
        <w:tc>
          <w:tcPr>
            <w:tcW w:w="9350" w:type="dxa"/>
          </w:tcPr>
          <w:p w14:paraId="1162CDC6" w14:textId="1790533E" w:rsidR="00F6608C" w:rsidRPr="0037741A" w:rsidRDefault="00722B9C" w:rsidP="00F6608C">
            <w:pPr>
              <w:shd w:val="clear" w:color="auto" w:fill="FFFFFF"/>
              <w:spacing w:line="330" w:lineRule="atLeast"/>
              <w:rPr>
                <w:rFonts w:ascii="Times New Roman" w:hAnsi="Times New Roman"/>
                <w:b/>
                <w:bCs/>
                <w:sz w:val="16"/>
                <w:szCs w:val="16"/>
                <w:lang w:eastAsia="x-none"/>
              </w:rPr>
            </w:pPr>
            <w:r w:rsidRPr="0037741A">
              <w:rPr>
                <w:rFonts w:ascii="Times New Roman" w:hAnsi="Times New Roman"/>
                <w:b/>
                <w:bCs/>
                <w:sz w:val="16"/>
                <w:szCs w:val="16"/>
                <w:u w:val="single"/>
                <w:lang w:eastAsia="x-none"/>
              </w:rPr>
              <w:t>RAN1 agreements on</w:t>
            </w:r>
            <w:r w:rsidRPr="0037741A">
              <w:rPr>
                <w:rFonts w:ascii="Times New Roman" w:hAnsi="Times New Roman"/>
                <w:b/>
                <w:bCs/>
                <w:sz w:val="16"/>
                <w:szCs w:val="16"/>
                <w:lang w:eastAsia="x-none"/>
              </w:rPr>
              <w:t xml:space="preserve"> </w:t>
            </w:r>
            <w:r w:rsidR="00F6608C" w:rsidRPr="0037741A">
              <w:rPr>
                <w:rFonts w:ascii="Times New Roman" w:hAnsi="Times New Roman"/>
                <w:b/>
                <w:bCs/>
                <w:sz w:val="16"/>
                <w:szCs w:val="16"/>
                <w:lang w:eastAsia="x-none"/>
              </w:rPr>
              <w:t>Timing advance management to reduce latency</w:t>
            </w:r>
          </w:p>
          <w:p w14:paraId="167CDC01"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p>
          <w:p w14:paraId="4F10D93F"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Agreemment</w:t>
            </w:r>
          </w:p>
          <w:p w14:paraId="546B1948"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For Rel-18 LTM, Random Access Preamble indices and indication of RACH occasions with the associated SSB indices are configured for each candidate cell. </w:t>
            </w:r>
          </w:p>
          <w:p w14:paraId="2BB5BF5E"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Note: the detailed signalling is left to RAN2</w:t>
            </w:r>
          </w:p>
          <w:p w14:paraId="767B3550"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p>
          <w:p w14:paraId="6FB938CB"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2FC4B1F8"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PDCCH order from the source cell contains the indication of candidate cell.</w:t>
            </w:r>
          </w:p>
          <w:p w14:paraId="27EC3210"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reserved bit(s) in DCI format 1_0 for PDCCH order can be used for indication of cell identity</w:t>
            </w:r>
          </w:p>
          <w:p w14:paraId="2B4967C8"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p>
          <w:p w14:paraId="3A1F2093"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573174BA"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For PDCCH ordered-RACH for candidate cell(s), RAR reception can be configured/indicated</w:t>
            </w:r>
          </w:p>
          <w:p w14:paraId="1F57EECC"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reception of RAR is not configured/indicated (without RAR)</w:t>
            </w:r>
          </w:p>
          <w:p w14:paraId="0B70B8D1"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TA value of candidate cell is indicated in cell switch command</w:t>
            </w:r>
          </w:p>
          <w:p w14:paraId="7E6EDFF2"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whether UE should re-transmit PRACH when reception of RAR is not configured/indicated</w:t>
            </w:r>
          </w:p>
          <w:p w14:paraId="7E9245B0"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how UE determine the transmit power of subsequent PRACH triggered by PDCCH order</w:t>
            </w:r>
          </w:p>
          <w:p w14:paraId="4C887E07"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reception of RAR is configured/indicated (with RAR), FFS</w:t>
            </w:r>
          </w:p>
          <w:p w14:paraId="2B57AD95"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whether RAR is received from serving cell or candidate cell</w:t>
            </w:r>
          </w:p>
          <w:p w14:paraId="5DAAFB34"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RAR is received from candidate cell, whether Type1-PDCCH CSS of the candidate cell is configured to the UE</w:t>
            </w:r>
          </w:p>
          <w:p w14:paraId="0373DE13"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content of RAR</w:t>
            </w:r>
          </w:p>
          <w:p w14:paraId="0F1B2CC3"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signaling for configuration/indication of whether RAR needs to be received</w:t>
            </w:r>
          </w:p>
          <w:p w14:paraId="2090EE9D"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UE can report the support combination of with RAR only and without RAR only, where support of one default scheme is the baseline UE approach for LTM</w:t>
            </w:r>
          </w:p>
          <w:p w14:paraId="731EB23B"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Send LS to RAN2 and RAN3 to check the feasibility about this agreement</w:t>
            </w:r>
          </w:p>
          <w:p w14:paraId="7BA88049"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Note: Definition of candidate cells is up to RAN2</w:t>
            </w:r>
          </w:p>
          <w:p w14:paraId="0A4E5E4B"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Agreement </w:t>
            </w:r>
          </w:p>
          <w:p w14:paraId="7B841AC4"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For PDCCH-order based RACH for TA measurement for candidate cells, legacy CBRA is not supported</w:t>
            </w:r>
          </w:p>
          <w:p w14:paraId="1603C1E6"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lastRenderedPageBreak/>
              <w:t>Agreement</w:t>
            </w:r>
          </w:p>
          <w:p w14:paraId="29324F3A"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on whether UE should initiate re-transmit PRACH when reception of RAR is not configured/indicated, down select one from the following alternatives.</w:t>
            </w:r>
          </w:p>
          <w:p w14:paraId="0A16202B"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Alt 1: UE autonomous re-transmission of PRACH is not allowed (e.g., by setting the number of allowed PRACH transmission to the minimum value of PreambleTransMax=1)</w:t>
            </w:r>
          </w:p>
          <w:p w14:paraId="0DDCB8AA"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Alt 2: UE autonomous Re-transmission of PRACH is allowed, </w:t>
            </w:r>
          </w:p>
          <w:p w14:paraId="67A4F738"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number of PRACH transmission will be defined e.g. set the times of RACH transmission to the minimum value of PreambleTransMax</w:t>
            </w:r>
          </w:p>
          <w:p w14:paraId="3EAD18A7"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Agreement</w:t>
            </w:r>
          </w:p>
          <w:p w14:paraId="11979B6F"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reception of RAR is configured/indicated, RAR contains at least TA of candidate cell.</w:t>
            </w:r>
          </w:p>
          <w:p w14:paraId="00329FDC"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maximum number of TA values memorized by UE is a UE capability</w:t>
            </w:r>
          </w:p>
          <w:p w14:paraId="312B66AE"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FFS: whether other parameters such as UE ID, candidate cell ID etc. is contained in RAR </w:t>
            </w:r>
          </w:p>
          <w:p w14:paraId="690EFE0C"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p>
          <w:p w14:paraId="7F34FC9B"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2ECBB5E1"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Whether RAR needs to be received is configured by RRC.</w:t>
            </w:r>
          </w:p>
          <w:p w14:paraId="580D3E0C"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p>
          <w:p w14:paraId="0F122CE0"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47505109"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study at least the following issues on PDCCH-order based PRACH for candidate cell that is not UL serving cell, i.e. without PUCCH/PUSCH configured</w:t>
            </w:r>
          </w:p>
          <w:p w14:paraId="6F41A0EE"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Whether gap between the DCI and PRACH longer than timeline defined in spec is needed</w:t>
            </w:r>
          </w:p>
          <w:p w14:paraId="43C7C26C"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Any impact/interruption on UL Tx of serving CCs due to the PRACH Tx</w:t>
            </w:r>
          </w:p>
          <w:p w14:paraId="617A7BBB"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p>
          <w:p w14:paraId="32E98E40" w14:textId="77777777" w:rsidR="00F6608C" w:rsidRPr="0037741A" w:rsidRDefault="00F6608C" w:rsidP="00F6608C">
            <w:pPr>
              <w:shd w:val="clear" w:color="auto" w:fill="FFFFFF"/>
              <w:spacing w:line="330" w:lineRule="atLeast"/>
              <w:rPr>
                <w:rFonts w:ascii="Times New Roman" w:hAnsi="Times New Roman"/>
                <w:b/>
                <w:bCs/>
                <w:sz w:val="16"/>
                <w:szCs w:val="16"/>
                <w:lang w:eastAsia="x-none"/>
              </w:rPr>
            </w:pPr>
            <w:r w:rsidRPr="0037741A">
              <w:rPr>
                <w:rFonts w:ascii="Times New Roman" w:hAnsi="Times New Roman"/>
                <w:b/>
                <w:bCs/>
                <w:sz w:val="16"/>
                <w:szCs w:val="16"/>
                <w:lang w:eastAsia="x-none"/>
              </w:rPr>
              <w:t>Working Assumption</w:t>
            </w:r>
          </w:p>
          <w:p w14:paraId="4502F482"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UE-based TA measurement (UE derives TA based on Rx timing difference between current serving cell and candidate cell as well as TA value for the current serving cell) is supported. </w:t>
            </w:r>
          </w:p>
          <w:p w14:paraId="1D6AEF1A"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Corresponding UE capability is to be introduced to support UE-based TA measurement</w:t>
            </w:r>
          </w:p>
          <w:p w14:paraId="2A63840D"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For a UE reports support of this capability, configuration of UE-based TA measurement is supported</w:t>
            </w:r>
          </w:p>
          <w:p w14:paraId="46CDA4C3" w14:textId="77777777" w:rsidR="00F6608C" w:rsidRPr="0037741A" w:rsidRDefault="00F6608C" w:rsidP="00F6608C">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other impacts on RAN1 spec</w:t>
            </w:r>
          </w:p>
          <w:p w14:paraId="4549A8CC" w14:textId="77777777" w:rsidR="002903AC" w:rsidRPr="0037741A" w:rsidRDefault="002903AC">
            <w:pPr>
              <w:rPr>
                <w:rFonts w:ascii="Times New Roman" w:hAnsi="Times New Roman"/>
                <w:i/>
                <w:iCs/>
                <w:sz w:val="16"/>
                <w:szCs w:val="16"/>
              </w:rPr>
            </w:pPr>
          </w:p>
        </w:tc>
      </w:tr>
    </w:tbl>
    <w:p w14:paraId="544CB128" w14:textId="1BF468A6" w:rsidR="002903AC" w:rsidRDefault="002903AC"/>
    <w:p w14:paraId="0A5F5F15" w14:textId="5046F84E" w:rsidR="00A971D7" w:rsidRPr="0037741A" w:rsidRDefault="00A971D7">
      <w:pPr>
        <w:rPr>
          <w:rFonts w:ascii="Garamond" w:hAnsi="Garamond"/>
        </w:rPr>
      </w:pPr>
      <w:r w:rsidRPr="0037741A">
        <w:rPr>
          <w:rFonts w:ascii="Garamond" w:hAnsi="Garamond"/>
        </w:rPr>
        <w:t>Following agreements were reached in RAN2#120</w:t>
      </w:r>
      <w:r w:rsidR="007B2783">
        <w:rPr>
          <w:rStyle w:val="FootnoteReference"/>
          <w:rFonts w:ascii="Garamond" w:hAnsi="Garamond"/>
        </w:rPr>
        <w:footnoteReference w:id="2"/>
      </w:r>
      <w:r w:rsidRPr="0037741A">
        <w:rPr>
          <w:rFonts w:ascii="Garamond" w:hAnsi="Garamond"/>
        </w:rPr>
        <w:t>:</w:t>
      </w:r>
    </w:p>
    <w:p w14:paraId="4104BC7C" w14:textId="77777777" w:rsidR="00A971D7" w:rsidRDefault="00A971D7"/>
    <w:tbl>
      <w:tblPr>
        <w:tblStyle w:val="TableGrid"/>
        <w:tblW w:w="0" w:type="auto"/>
        <w:tblLook w:val="04A0" w:firstRow="1" w:lastRow="0" w:firstColumn="1" w:lastColumn="0" w:noHBand="0" w:noVBand="1"/>
      </w:tblPr>
      <w:tblGrid>
        <w:gridCol w:w="9350"/>
      </w:tblGrid>
      <w:tr w:rsidR="0026215B" w14:paraId="5A104168" w14:textId="77777777" w:rsidTr="0026215B">
        <w:tc>
          <w:tcPr>
            <w:tcW w:w="9350" w:type="dxa"/>
          </w:tcPr>
          <w:p w14:paraId="338E36F5" w14:textId="77777777" w:rsidR="0026215B" w:rsidRPr="006616D9" w:rsidRDefault="0026215B" w:rsidP="00591F32">
            <w:pPr>
              <w:rPr>
                <w:b/>
                <w:bCs/>
              </w:rPr>
            </w:pPr>
            <w:r w:rsidRPr="006616D9">
              <w:rPr>
                <w:b/>
                <w:bCs/>
              </w:rPr>
              <w:t>Relevant RAN2 agreements</w:t>
            </w:r>
            <w:r w:rsidR="00E25B88" w:rsidRPr="006616D9">
              <w:rPr>
                <w:b/>
                <w:bCs/>
              </w:rPr>
              <w:t>:</w:t>
            </w:r>
          </w:p>
          <w:p w14:paraId="183D7B5A" w14:textId="77777777" w:rsidR="00E25B88" w:rsidRPr="008C1389" w:rsidRDefault="00E25B88" w:rsidP="008C1389">
            <w:pPr>
              <w:pStyle w:val="ListParagraph"/>
              <w:ind w:leftChars="0" w:left="0"/>
              <w:rPr>
                <w:rFonts w:ascii="Times New Roman" w:eastAsia="SimSun" w:hAnsi="Times New Roman"/>
                <w:i/>
                <w:iCs/>
                <w:color w:val="000000"/>
                <w:sz w:val="18"/>
                <w:szCs w:val="18"/>
                <w:lang w:val="en-US" w:eastAsia="zh-CN"/>
              </w:rPr>
            </w:pPr>
          </w:p>
          <w:p w14:paraId="3962C4C0" w14:textId="03252872" w:rsidR="00E25B88" w:rsidRDefault="008C1389" w:rsidP="006616D9">
            <w:pPr>
              <w:pStyle w:val="ListParagraph"/>
              <w:numPr>
                <w:ilvl w:val="0"/>
                <w:numId w:val="11"/>
              </w:numPr>
              <w:ind w:leftChars="0" w:left="360"/>
              <w:rPr>
                <w:rFonts w:ascii="Times New Roman" w:eastAsia="SimSun" w:hAnsi="Times New Roman"/>
                <w:i/>
                <w:iCs/>
                <w:color w:val="000000"/>
                <w:sz w:val="18"/>
                <w:szCs w:val="18"/>
                <w:lang w:val="en-US" w:eastAsia="zh-CN"/>
              </w:rPr>
            </w:pPr>
            <w:r w:rsidRPr="008C1389">
              <w:rPr>
                <w:rFonts w:ascii="Times New Roman" w:eastAsia="SimSun" w:hAnsi="Times New Roman"/>
                <w:i/>
                <w:iCs/>
                <w:color w:val="000000"/>
                <w:sz w:val="18"/>
                <w:szCs w:val="18"/>
                <w:lang w:val="en-US" w:eastAsia="zh-CN"/>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003F7342">
              <w:rPr>
                <w:rFonts w:ascii="Times New Roman" w:eastAsia="SimSun" w:hAnsi="Times New Roman"/>
                <w:i/>
                <w:iCs/>
                <w:color w:val="000000"/>
                <w:sz w:val="18"/>
                <w:szCs w:val="18"/>
                <w:lang w:val="en-US" w:eastAsia="zh-CN"/>
              </w:rPr>
              <w:pgNum/>
            </w:r>
            <w:r w:rsidR="003F7342">
              <w:rPr>
                <w:rFonts w:ascii="Times New Roman" w:eastAsia="SimSun" w:hAnsi="Times New Roman"/>
                <w:i/>
                <w:iCs/>
                <w:color w:val="000000"/>
                <w:sz w:val="18"/>
                <w:szCs w:val="18"/>
                <w:lang w:val="en-US" w:eastAsia="zh-CN"/>
              </w:rPr>
              <w:t>gmt.</w:t>
            </w:r>
            <w:r w:rsidRPr="008C1389">
              <w:rPr>
                <w:rFonts w:ascii="Times New Roman" w:eastAsia="SimSun" w:hAnsi="Times New Roman"/>
                <w:i/>
                <w:iCs/>
                <w:color w:val="000000"/>
                <w:sz w:val="18"/>
                <w:szCs w:val="18"/>
                <w:lang w:val="en-US" w:eastAsia="zh-CN"/>
              </w:rPr>
              <w:t xml:space="preserve"> (to the extent it is supported) may be by the source cell. RAN2 understands that this may require cooperation source DU CU target DU and/or OAM coord. RAN2 don’t see any blocking issue to share information between D</w:t>
            </w:r>
            <w:r w:rsidR="003F7342" w:rsidRPr="008C1389">
              <w:rPr>
                <w:rFonts w:ascii="Times New Roman" w:eastAsia="SimSun" w:hAnsi="Times New Roman"/>
                <w:i/>
                <w:iCs/>
                <w:color w:val="000000"/>
                <w:sz w:val="18"/>
                <w:szCs w:val="18"/>
                <w:lang w:val="en-US" w:eastAsia="zh-CN"/>
              </w:rPr>
              <w:t>u</w:t>
            </w:r>
            <w:r w:rsidRPr="008C1389">
              <w:rPr>
                <w:rFonts w:ascii="Times New Roman" w:eastAsia="SimSun" w:hAnsi="Times New Roman"/>
                <w:i/>
                <w:iCs/>
                <w:color w:val="000000"/>
                <w:sz w:val="18"/>
                <w:szCs w:val="18"/>
                <w:lang w:val="en-US" w:eastAsia="zh-CN"/>
              </w:rPr>
              <w:t>s but the support of this is in RAN3 domain. RAN2 see no necessity for a direct inter-DU-interface to support this.</w:t>
            </w:r>
          </w:p>
          <w:p w14:paraId="6E5242AF" w14:textId="64D53007" w:rsidR="008C1389" w:rsidRDefault="008C1389" w:rsidP="006616D9">
            <w:pPr>
              <w:pStyle w:val="ListParagraph"/>
              <w:ind w:leftChars="0" w:left="0"/>
              <w:rPr>
                <w:rFonts w:ascii="Times New Roman" w:eastAsia="SimSun" w:hAnsi="Times New Roman"/>
                <w:i/>
                <w:iCs/>
                <w:color w:val="000000"/>
                <w:sz w:val="18"/>
                <w:szCs w:val="18"/>
                <w:lang w:val="en-US" w:eastAsia="zh-CN"/>
              </w:rPr>
            </w:pPr>
          </w:p>
          <w:p w14:paraId="7139CF21" w14:textId="19544BB5" w:rsidR="008C1389" w:rsidRPr="008C1389" w:rsidRDefault="008C1389" w:rsidP="006616D9">
            <w:pPr>
              <w:pStyle w:val="ListParagraph"/>
              <w:numPr>
                <w:ilvl w:val="0"/>
                <w:numId w:val="10"/>
              </w:numPr>
              <w:ind w:leftChars="0" w:left="360"/>
              <w:rPr>
                <w:rFonts w:ascii="Times New Roman" w:eastAsia="SimSun" w:hAnsi="Times New Roman"/>
                <w:i/>
                <w:iCs/>
                <w:color w:val="000000"/>
                <w:sz w:val="18"/>
                <w:szCs w:val="18"/>
                <w:lang w:eastAsia="zh-CN"/>
              </w:rPr>
            </w:pPr>
            <w:r w:rsidRPr="008C1389">
              <w:rPr>
                <w:rFonts w:ascii="Times New Roman" w:eastAsia="SimSun" w:hAnsi="Times New Roman"/>
                <w:i/>
                <w:iCs/>
                <w:color w:val="000000"/>
                <w:sz w:val="18"/>
                <w:szCs w:val="18"/>
                <w:lang w:eastAsia="zh-CN"/>
              </w:rPr>
              <w:t>The MAC CE agreed to carry LTM related information for cell switch is used for LTM triggering of the cell switch.</w:t>
            </w:r>
          </w:p>
          <w:p w14:paraId="51CC0D36" w14:textId="63F78EF4" w:rsidR="008C1389" w:rsidRPr="008C1389" w:rsidRDefault="008C1389" w:rsidP="006616D9">
            <w:pPr>
              <w:pStyle w:val="ListParagraph"/>
              <w:numPr>
                <w:ilvl w:val="0"/>
                <w:numId w:val="10"/>
              </w:numPr>
              <w:ind w:leftChars="0" w:left="360"/>
              <w:rPr>
                <w:rFonts w:ascii="Times New Roman" w:eastAsia="SimSun" w:hAnsi="Times New Roman"/>
                <w:i/>
                <w:iCs/>
                <w:color w:val="000000"/>
                <w:sz w:val="18"/>
                <w:szCs w:val="18"/>
                <w:lang w:eastAsia="zh-CN"/>
              </w:rPr>
            </w:pPr>
            <w:r w:rsidRPr="008C1389">
              <w:rPr>
                <w:rFonts w:ascii="Times New Roman" w:eastAsia="SimSun" w:hAnsi="Times New Roman"/>
                <w:i/>
                <w:iCs/>
                <w:color w:val="000000"/>
                <w:sz w:val="18"/>
                <w:szCs w:val="18"/>
                <w:lang w:eastAsia="zh-CN"/>
              </w:rPr>
              <w:t>LTM cell switch is supervised by a timer</w:t>
            </w:r>
          </w:p>
          <w:p w14:paraId="61A07181" w14:textId="7DB2C7E8" w:rsidR="008C1389" w:rsidRPr="008C1389" w:rsidRDefault="008C1389" w:rsidP="006616D9">
            <w:pPr>
              <w:pStyle w:val="ListParagraph"/>
              <w:numPr>
                <w:ilvl w:val="0"/>
                <w:numId w:val="10"/>
              </w:numPr>
              <w:ind w:leftChars="0" w:left="360"/>
              <w:rPr>
                <w:rFonts w:ascii="Times New Roman" w:eastAsia="SimSun" w:hAnsi="Times New Roman"/>
                <w:i/>
                <w:iCs/>
                <w:color w:val="000000"/>
                <w:sz w:val="18"/>
                <w:szCs w:val="18"/>
                <w:lang w:eastAsia="zh-CN"/>
              </w:rPr>
            </w:pPr>
            <w:r w:rsidRPr="008C1389">
              <w:rPr>
                <w:rFonts w:ascii="Times New Roman" w:eastAsia="SimSun" w:hAnsi="Times New Roman"/>
                <w:i/>
                <w:iCs/>
                <w:color w:val="000000"/>
                <w:sz w:val="18"/>
                <w:szCs w:val="18"/>
                <w:lang w:eastAsia="zh-CN"/>
              </w:rPr>
              <w:t>UE arrival in the target cell need to be indicated (somehow)</w:t>
            </w:r>
          </w:p>
          <w:p w14:paraId="7395EF75" w14:textId="1D22C488" w:rsidR="008C1389" w:rsidRDefault="008C1389" w:rsidP="008C1389">
            <w:pPr>
              <w:pStyle w:val="ListParagraph"/>
              <w:ind w:leftChars="0" w:left="0"/>
            </w:pPr>
          </w:p>
        </w:tc>
      </w:tr>
    </w:tbl>
    <w:p w14:paraId="60EC0319" w14:textId="38AEC318" w:rsidR="0026215B" w:rsidRDefault="0026215B" w:rsidP="00591F32"/>
    <w:p w14:paraId="237F4D62" w14:textId="342885BD" w:rsidR="00CE3ED3" w:rsidRPr="0037741A" w:rsidRDefault="00CE3ED3" w:rsidP="00591F32">
      <w:pPr>
        <w:rPr>
          <w:rFonts w:ascii="Garamond" w:hAnsi="Garamond"/>
        </w:rPr>
      </w:pPr>
      <w:r w:rsidRPr="0037741A">
        <w:rPr>
          <w:rFonts w:ascii="Garamond" w:hAnsi="Garamond"/>
        </w:rPr>
        <w:t xml:space="preserve">Based on the relevant RAN1 and RAN2 agreements, two example </w:t>
      </w:r>
      <w:r w:rsidR="0073766F" w:rsidRPr="0037741A">
        <w:rPr>
          <w:rFonts w:ascii="Garamond" w:hAnsi="Garamond"/>
        </w:rPr>
        <w:t xml:space="preserve">LTM procedural </w:t>
      </w:r>
      <w:r w:rsidRPr="0037741A">
        <w:rPr>
          <w:rFonts w:ascii="Garamond" w:hAnsi="Garamond"/>
        </w:rPr>
        <w:t>design</w:t>
      </w:r>
      <w:r w:rsidR="0073766F" w:rsidRPr="0037741A">
        <w:rPr>
          <w:rFonts w:ascii="Garamond" w:hAnsi="Garamond"/>
        </w:rPr>
        <w:t xml:space="preserve">s are presented </w:t>
      </w:r>
      <w:r w:rsidR="00FC738D" w:rsidRPr="0037741A">
        <w:rPr>
          <w:rFonts w:ascii="Garamond" w:hAnsi="Garamond"/>
        </w:rPr>
        <w:t>in this paper.</w:t>
      </w:r>
    </w:p>
    <w:p w14:paraId="06219250" w14:textId="6AABDCD0" w:rsidR="00AA1235" w:rsidRPr="0037741A" w:rsidRDefault="00AA1235" w:rsidP="00591F32">
      <w:pPr>
        <w:rPr>
          <w:rFonts w:ascii="Garamond" w:hAnsi="Garamond"/>
        </w:rPr>
      </w:pPr>
      <w:r w:rsidRPr="0037741A">
        <w:rPr>
          <w:rFonts w:ascii="Garamond" w:hAnsi="Garamond"/>
        </w:rPr>
        <w:t>An accompanying paper in [1] provides details of Early TA procedure from RAN2 perspective.</w:t>
      </w:r>
    </w:p>
    <w:p w14:paraId="0AC54CF8" w14:textId="79D72DF4" w:rsidR="0073766F" w:rsidRDefault="0073766F" w:rsidP="00591F32"/>
    <w:p w14:paraId="711B90D1" w14:textId="77777777" w:rsidR="0040225E" w:rsidRPr="007022BC" w:rsidRDefault="0040225E" w:rsidP="0040225E">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ind w:left="357" w:hanging="357"/>
        <w:jc w:val="both"/>
        <w:textAlignment w:val="baseline"/>
        <w:outlineLvl w:val="0"/>
        <w:rPr>
          <w:rFonts w:ascii="Times New Roman" w:eastAsia="SimSun" w:hAnsi="Times New Roman"/>
          <w:b/>
          <w:sz w:val="32"/>
          <w:szCs w:val="32"/>
          <w:lang w:eastAsia="zh-CN"/>
        </w:rPr>
      </w:pPr>
      <w:r w:rsidRPr="007022BC">
        <w:rPr>
          <w:rFonts w:ascii="Times New Roman" w:eastAsia="SimSun" w:hAnsi="Times New Roman"/>
          <w:b/>
          <w:sz w:val="32"/>
          <w:szCs w:val="32"/>
          <w:lang w:eastAsia="zh-CN"/>
        </w:rPr>
        <w:t>Discussion</w:t>
      </w:r>
    </w:p>
    <w:p w14:paraId="4F0AEC64" w14:textId="77777777" w:rsidR="0040225E" w:rsidRDefault="0040225E" w:rsidP="00591F32"/>
    <w:p w14:paraId="57AAEB3B" w14:textId="58D9AA9C" w:rsidR="009929F2" w:rsidRPr="0037741A" w:rsidRDefault="009929F2" w:rsidP="00591F32">
      <w:pPr>
        <w:rPr>
          <w:rFonts w:ascii="Garamond" w:hAnsi="Garamond"/>
        </w:rPr>
      </w:pPr>
      <w:r w:rsidRPr="0037741A">
        <w:rPr>
          <w:rFonts w:ascii="Garamond" w:hAnsi="Garamond"/>
        </w:rPr>
        <w:t>Two LTM procedural designs based on the relevant RAN1 and RAN2 agreements reached so far</w:t>
      </w:r>
      <w:r w:rsidR="00C14217" w:rsidRPr="0037741A">
        <w:rPr>
          <w:rFonts w:ascii="Garamond" w:hAnsi="Garamond"/>
        </w:rPr>
        <w:t>,</w:t>
      </w:r>
      <w:r w:rsidRPr="0037741A">
        <w:rPr>
          <w:rFonts w:ascii="Garamond" w:hAnsi="Garamond"/>
        </w:rPr>
        <w:t xml:space="preserve"> are </w:t>
      </w:r>
      <w:r w:rsidR="00C14217" w:rsidRPr="0037741A">
        <w:rPr>
          <w:rFonts w:ascii="Garamond" w:hAnsi="Garamond"/>
        </w:rPr>
        <w:t xml:space="preserve">presented </w:t>
      </w:r>
      <w:r w:rsidRPr="0037741A">
        <w:rPr>
          <w:rFonts w:ascii="Garamond" w:hAnsi="Garamond"/>
        </w:rPr>
        <w:t>as follows:</w:t>
      </w:r>
    </w:p>
    <w:p w14:paraId="32A7D3A8" w14:textId="77777777" w:rsidR="009929F2" w:rsidRPr="0037741A" w:rsidRDefault="009929F2" w:rsidP="00591F32">
      <w:pPr>
        <w:rPr>
          <w:rFonts w:ascii="Garamond" w:hAnsi="Garamond"/>
        </w:rPr>
      </w:pPr>
    </w:p>
    <w:p w14:paraId="7C4BF507" w14:textId="77777777" w:rsidR="00974787" w:rsidRPr="0037741A" w:rsidRDefault="00974787" w:rsidP="00974787">
      <w:pPr>
        <w:pStyle w:val="Heading2"/>
        <w:rPr>
          <w:rFonts w:ascii="Garamond" w:hAnsi="Garamond"/>
        </w:rPr>
      </w:pPr>
      <w:r w:rsidRPr="0037741A">
        <w:rPr>
          <w:rFonts w:ascii="Garamond" w:hAnsi="Garamond"/>
        </w:rPr>
        <w:t>Approach A:</w:t>
      </w:r>
    </w:p>
    <w:p w14:paraId="0F3AB00D" w14:textId="77777777" w:rsidR="00C2257F" w:rsidRPr="0037741A" w:rsidRDefault="00C2257F" w:rsidP="00591F32">
      <w:pPr>
        <w:rPr>
          <w:rFonts w:ascii="Garamond" w:hAnsi="Garamond"/>
        </w:rPr>
      </w:pPr>
    </w:p>
    <w:p w14:paraId="08AA7759" w14:textId="77777777" w:rsidR="00DD608D" w:rsidRPr="0037741A" w:rsidRDefault="00591F32" w:rsidP="00591F32">
      <w:pPr>
        <w:rPr>
          <w:rFonts w:ascii="Garamond" w:hAnsi="Garamond"/>
        </w:rPr>
      </w:pPr>
      <w:r w:rsidRPr="0037741A">
        <w:rPr>
          <w:rFonts w:ascii="Garamond" w:hAnsi="Garamond"/>
        </w:rPr>
        <w:fldChar w:fldCharType="begin"/>
      </w:r>
      <w:r w:rsidRPr="0037741A">
        <w:rPr>
          <w:rFonts w:ascii="Garamond" w:hAnsi="Garamond"/>
        </w:rPr>
        <w:instrText xml:space="preserve"> REF _Ref126924725 \h  \* MERGEFORMAT </w:instrText>
      </w:r>
      <w:r w:rsidRPr="0037741A">
        <w:rPr>
          <w:rFonts w:ascii="Garamond" w:hAnsi="Garamond"/>
        </w:rPr>
      </w:r>
      <w:r w:rsidRPr="0037741A">
        <w:rPr>
          <w:rFonts w:ascii="Garamond" w:hAnsi="Garamond"/>
        </w:rPr>
        <w:fldChar w:fldCharType="separate"/>
      </w:r>
      <w:r w:rsidRPr="0037741A">
        <w:rPr>
          <w:rFonts w:ascii="Garamond" w:hAnsi="Garamond"/>
        </w:rPr>
        <w:t xml:space="preserve">Figure </w:t>
      </w:r>
      <w:r w:rsidRPr="0037741A">
        <w:rPr>
          <w:rFonts w:ascii="Garamond" w:hAnsi="Garamond"/>
          <w:noProof/>
        </w:rPr>
        <w:t>1</w:t>
      </w:r>
      <w:r w:rsidRPr="0037741A">
        <w:rPr>
          <w:rFonts w:ascii="Garamond" w:hAnsi="Garamond"/>
        </w:rPr>
        <w:fldChar w:fldCharType="end"/>
      </w:r>
      <w:r w:rsidRPr="0037741A">
        <w:rPr>
          <w:rFonts w:ascii="Garamond" w:hAnsi="Garamond"/>
        </w:rPr>
        <w:t xml:space="preserve"> shows a message sequence of how lower layer mobility could work based on agreements reached in RAN1 so far and current RAN1/ 2 understanding of the background. </w:t>
      </w:r>
    </w:p>
    <w:p w14:paraId="41396FEA" w14:textId="77777777" w:rsidR="00DD608D" w:rsidRPr="0037741A" w:rsidRDefault="00DD608D" w:rsidP="00591F32">
      <w:pPr>
        <w:rPr>
          <w:rFonts w:ascii="Garamond" w:hAnsi="Garamond"/>
        </w:rPr>
      </w:pPr>
    </w:p>
    <w:p w14:paraId="3A861635" w14:textId="0EB141E4" w:rsidR="004E2788" w:rsidRPr="0037741A" w:rsidRDefault="00591F32" w:rsidP="00591F32">
      <w:pPr>
        <w:rPr>
          <w:rFonts w:ascii="Garamond" w:hAnsi="Garamond"/>
        </w:rPr>
      </w:pPr>
      <w:r w:rsidRPr="0037741A">
        <w:rPr>
          <w:rFonts w:ascii="Garamond" w:hAnsi="Garamond"/>
        </w:rPr>
        <w:t>Here the First-RRC-Reconfiguration contains</w:t>
      </w:r>
      <w:r w:rsidR="004E2788" w:rsidRPr="0037741A">
        <w:rPr>
          <w:rFonts w:ascii="Garamond" w:hAnsi="Garamond"/>
        </w:rPr>
        <w:t>:</w:t>
      </w:r>
    </w:p>
    <w:p w14:paraId="31A7F10F" w14:textId="0307506C" w:rsidR="00A42231" w:rsidRPr="0037741A" w:rsidRDefault="00591F32" w:rsidP="005F4062">
      <w:pPr>
        <w:pStyle w:val="ListParagraph"/>
        <w:numPr>
          <w:ilvl w:val="0"/>
          <w:numId w:val="12"/>
        </w:numPr>
        <w:ind w:leftChars="0"/>
        <w:rPr>
          <w:rFonts w:ascii="Garamond" w:hAnsi="Garamond"/>
        </w:rPr>
      </w:pPr>
      <w:r w:rsidRPr="0037741A">
        <w:rPr>
          <w:rFonts w:ascii="Garamond" w:hAnsi="Garamond"/>
        </w:rPr>
        <w:t>a list of candidate cell</w:t>
      </w:r>
      <w:r w:rsidR="00FB0D56" w:rsidRPr="0037741A">
        <w:rPr>
          <w:rFonts w:ascii="Garamond" w:hAnsi="Garamond"/>
        </w:rPr>
        <w:t>s</w:t>
      </w:r>
    </w:p>
    <w:p w14:paraId="48702E84" w14:textId="3561BD65" w:rsidR="004E2788" w:rsidRPr="0037741A" w:rsidRDefault="004E2788" w:rsidP="005F4062">
      <w:pPr>
        <w:pStyle w:val="ListParagraph"/>
        <w:numPr>
          <w:ilvl w:val="0"/>
          <w:numId w:val="12"/>
        </w:numPr>
        <w:ind w:leftChars="0"/>
        <w:rPr>
          <w:rFonts w:ascii="Garamond" w:hAnsi="Garamond"/>
        </w:rPr>
      </w:pPr>
      <w:r w:rsidRPr="0037741A">
        <w:rPr>
          <w:rFonts w:ascii="Garamond" w:hAnsi="Garamond"/>
        </w:rPr>
        <w:t>Random Access Preamble indices and indication of RACH occasions with the associated SSB indices for each candidate cell</w:t>
      </w:r>
    </w:p>
    <w:p w14:paraId="546E3BF7" w14:textId="77777777" w:rsidR="004E2788" w:rsidRPr="0037741A" w:rsidRDefault="004E2788" w:rsidP="00591F32">
      <w:pPr>
        <w:rPr>
          <w:rFonts w:ascii="Garamond" w:hAnsi="Garamond"/>
        </w:rPr>
      </w:pPr>
    </w:p>
    <w:p w14:paraId="4E5D4913" w14:textId="1070D183" w:rsidR="005A17AB" w:rsidRPr="0037741A" w:rsidRDefault="00591F32" w:rsidP="00591F32">
      <w:pPr>
        <w:rPr>
          <w:rFonts w:ascii="Garamond" w:hAnsi="Garamond"/>
        </w:rPr>
      </w:pPr>
      <w:r w:rsidRPr="0037741A">
        <w:rPr>
          <w:rFonts w:ascii="Garamond" w:hAnsi="Garamond"/>
        </w:rPr>
        <w:t xml:space="preserve">Based on the UE’s CSI Report(s), network decides on which candidate cell(s) the Early TA can be obtained by the UE. Here, as one network implementation option </w:t>
      </w:r>
      <w:r w:rsidR="00A85473">
        <w:rPr>
          <w:rFonts w:ascii="Garamond" w:hAnsi="Garamond"/>
        </w:rPr>
        <w:t>CU</w:t>
      </w:r>
      <w:r w:rsidR="00A85473" w:rsidRPr="0037741A">
        <w:rPr>
          <w:rFonts w:ascii="Garamond" w:hAnsi="Garamond"/>
        </w:rPr>
        <w:t xml:space="preserve"> </w:t>
      </w:r>
      <w:r w:rsidRPr="0037741A">
        <w:rPr>
          <w:rFonts w:ascii="Garamond" w:hAnsi="Garamond"/>
        </w:rPr>
        <w:t xml:space="preserve">can request the corresponding candidate DU to reserve required PRACH/ UL RS resources for the UE, which is then provided by the source DU to the UE in </w:t>
      </w:r>
      <w:r w:rsidR="00282647">
        <w:rPr>
          <w:rFonts w:ascii="Garamond" w:hAnsi="Garamond"/>
        </w:rPr>
        <w:t xml:space="preserve">first-RRC-Reconfiguration and </w:t>
      </w:r>
      <w:r w:rsidRPr="0037741A">
        <w:rPr>
          <w:rFonts w:ascii="Garamond" w:hAnsi="Garamond"/>
        </w:rPr>
        <w:t>PDCCH ordered DCI</w:t>
      </w:r>
      <w:r w:rsidR="007A3802">
        <w:rPr>
          <w:rFonts w:ascii="Garamond" w:hAnsi="Garamond"/>
        </w:rPr>
        <w:t xml:space="preserve"> may contain a corresponding index</w:t>
      </w:r>
      <w:r w:rsidRPr="0037741A">
        <w:rPr>
          <w:rFonts w:ascii="Garamond" w:hAnsi="Garamond"/>
        </w:rPr>
        <w:t xml:space="preserve"> indicating candidate cell(s) for which the Early TA needs to be acquired. UE behaves accordingly and makes a PRACH transmission enabling the candidate DU to compute the TA (N</w:t>
      </w:r>
      <w:r w:rsidRPr="0037741A">
        <w:rPr>
          <w:rFonts w:ascii="Garamond" w:hAnsi="Garamond"/>
          <w:vertAlign w:val="subscript"/>
        </w:rPr>
        <w:t>TA</w:t>
      </w:r>
      <w:r w:rsidRPr="0037741A">
        <w:rPr>
          <w:rFonts w:ascii="Garamond" w:hAnsi="Garamond"/>
        </w:rPr>
        <w:t xml:space="preserve">) for the UE – and </w:t>
      </w:r>
      <w:r w:rsidR="005A17AB" w:rsidRPr="0037741A">
        <w:rPr>
          <w:rFonts w:ascii="Garamond" w:hAnsi="Garamond"/>
        </w:rPr>
        <w:t xml:space="preserve">either </w:t>
      </w:r>
      <w:r w:rsidRPr="0037741A">
        <w:rPr>
          <w:rFonts w:ascii="Garamond" w:hAnsi="Garamond"/>
        </w:rPr>
        <w:t>send it to the source DU</w:t>
      </w:r>
      <w:r w:rsidR="009648AE" w:rsidRPr="0037741A">
        <w:rPr>
          <w:rFonts w:ascii="Garamond" w:hAnsi="Garamond"/>
        </w:rPr>
        <w:t xml:space="preserve"> </w:t>
      </w:r>
      <w:r w:rsidR="005A17AB" w:rsidRPr="0037741A">
        <w:rPr>
          <w:rFonts w:ascii="Garamond" w:hAnsi="Garamond"/>
        </w:rPr>
        <w:t>or directly to the UE</w:t>
      </w:r>
      <w:r w:rsidRPr="0037741A">
        <w:rPr>
          <w:rFonts w:ascii="Garamond" w:hAnsi="Garamond"/>
        </w:rPr>
        <w:t xml:space="preserve">. </w:t>
      </w:r>
      <w:r w:rsidR="005A17AB" w:rsidRPr="0037741A">
        <w:rPr>
          <w:rFonts w:ascii="Garamond" w:hAnsi="Garamond"/>
        </w:rPr>
        <w:t xml:space="preserve">In the latter case, the UE shall attempt receiving RAR from the candidate cell. In the former case however, the TA value is sent to the UE by the source cell in the LTM </w:t>
      </w:r>
      <w:r w:rsidR="00A53549">
        <w:rPr>
          <w:rFonts w:ascii="Garamond" w:hAnsi="Garamond"/>
        </w:rPr>
        <w:t>MAC CE</w:t>
      </w:r>
      <w:r w:rsidR="005A17AB" w:rsidRPr="0037741A">
        <w:rPr>
          <w:rFonts w:ascii="Garamond" w:hAnsi="Garamond"/>
        </w:rPr>
        <w:t>. Which behaviour is to be applied (former or latter i.e., without or with RAR reception) will be configured to the UE.</w:t>
      </w:r>
    </w:p>
    <w:p w14:paraId="1F7DDBF1" w14:textId="77777777" w:rsidR="005A17AB" w:rsidRPr="0037741A" w:rsidRDefault="005A17AB" w:rsidP="00591F32">
      <w:pPr>
        <w:rPr>
          <w:rFonts w:ascii="Garamond" w:hAnsi="Garamond"/>
        </w:rPr>
      </w:pPr>
    </w:p>
    <w:p w14:paraId="5170C4E8" w14:textId="77777777" w:rsidR="00625CA1" w:rsidRPr="0037741A" w:rsidRDefault="00591F32" w:rsidP="00591F32">
      <w:pPr>
        <w:rPr>
          <w:rFonts w:ascii="Garamond" w:hAnsi="Garamond"/>
        </w:rPr>
      </w:pPr>
      <w:r w:rsidRPr="0037741A">
        <w:rPr>
          <w:rFonts w:ascii="Garamond" w:hAnsi="Garamond"/>
        </w:rPr>
        <w:t xml:space="preserve">Source </w:t>
      </w:r>
      <w:r w:rsidR="009648AE" w:rsidRPr="0037741A">
        <w:rPr>
          <w:rFonts w:ascii="Garamond" w:hAnsi="Garamond"/>
        </w:rPr>
        <w:t xml:space="preserve">DU </w:t>
      </w:r>
      <w:r w:rsidRPr="0037741A">
        <w:rPr>
          <w:rFonts w:ascii="Garamond" w:hAnsi="Garamond"/>
        </w:rPr>
        <w:t xml:space="preserve">stores the TA values received from candidate cell(s) and maintains the validity of stored values of TA, using a TAT timer and ordering fresh PDCCH, if necessary. </w:t>
      </w:r>
      <w:r w:rsidR="009648AE" w:rsidRPr="0037741A">
        <w:rPr>
          <w:rFonts w:ascii="Garamond" w:hAnsi="Garamond"/>
        </w:rPr>
        <w:t xml:space="preserve">If RAR based Early TA procedure is used, the TA value will be sent to UE directly in RAR (Msg2). The UE will store the TA value and maintain the validity of stored values of TA. </w:t>
      </w:r>
    </w:p>
    <w:p w14:paraId="7E097EA9" w14:textId="77777777" w:rsidR="00625CA1" w:rsidRPr="0037741A" w:rsidRDefault="00625CA1" w:rsidP="00591F32">
      <w:pPr>
        <w:rPr>
          <w:rFonts w:ascii="Garamond" w:hAnsi="Garamond"/>
        </w:rPr>
      </w:pPr>
    </w:p>
    <w:p w14:paraId="447CE2C2" w14:textId="6E3EE5F9" w:rsidR="00591F32" w:rsidRPr="0037741A" w:rsidRDefault="00591F32" w:rsidP="00591F32">
      <w:pPr>
        <w:rPr>
          <w:rFonts w:ascii="Garamond" w:hAnsi="Garamond"/>
        </w:rPr>
      </w:pPr>
      <w:r w:rsidRPr="0037741A">
        <w:rPr>
          <w:rFonts w:ascii="Garamond" w:hAnsi="Garamond"/>
        </w:rPr>
        <w:t xml:space="preserve">If in the meanwhile, a L1/ L2 measurement report is </w:t>
      </w:r>
      <w:r w:rsidR="003345E7" w:rsidRPr="0037741A">
        <w:rPr>
          <w:rFonts w:ascii="Garamond" w:hAnsi="Garamond"/>
        </w:rPr>
        <w:t xml:space="preserve">sent </w:t>
      </w:r>
      <w:r w:rsidRPr="0037741A">
        <w:rPr>
          <w:rFonts w:ascii="Garamond" w:hAnsi="Garamond"/>
        </w:rPr>
        <w:t xml:space="preserve">by the UE for one of the candidate cells for which the source may already have a valid TA, </w:t>
      </w:r>
      <w:r w:rsidR="003345E7" w:rsidRPr="0037741A">
        <w:rPr>
          <w:rFonts w:ascii="Garamond" w:hAnsi="Garamond"/>
        </w:rPr>
        <w:t xml:space="preserve">the source DU </w:t>
      </w:r>
      <w:r w:rsidRPr="0037741A">
        <w:rPr>
          <w:rFonts w:ascii="Garamond" w:hAnsi="Garamond"/>
        </w:rPr>
        <w:t xml:space="preserve">can issue a LTM command to the UE including the TA value, which uses the TA to announce its arrival in the candidate (target) side. The PUSCH resources for the </w:t>
      </w:r>
      <w:r w:rsidR="003345E7" w:rsidRPr="0037741A">
        <w:rPr>
          <w:rFonts w:ascii="Garamond" w:hAnsi="Garamond"/>
        </w:rPr>
        <w:t>arrival announcement in the target side</w:t>
      </w:r>
      <w:r w:rsidR="003345E7" w:rsidRPr="0037741A" w:rsidDel="003345E7">
        <w:rPr>
          <w:rFonts w:ascii="Garamond" w:hAnsi="Garamond"/>
        </w:rPr>
        <w:t xml:space="preserve"> </w:t>
      </w:r>
      <w:r w:rsidRPr="0037741A">
        <w:rPr>
          <w:rFonts w:ascii="Garamond" w:hAnsi="Garamond"/>
        </w:rPr>
        <w:t xml:space="preserve">could be configured apriori or could be based on dynamic signalling from the target expecting the UE arrival – as notified by the source DU/ CU (not shown in </w:t>
      </w:r>
      <w:r w:rsidRPr="0037741A">
        <w:rPr>
          <w:rFonts w:ascii="Garamond" w:hAnsi="Garamond"/>
        </w:rPr>
        <w:fldChar w:fldCharType="begin"/>
      </w:r>
      <w:r w:rsidRPr="0037741A">
        <w:rPr>
          <w:rFonts w:ascii="Garamond" w:hAnsi="Garamond"/>
        </w:rPr>
        <w:instrText xml:space="preserve"> REF _Ref126924725 \h  \* MERGEFORMAT </w:instrText>
      </w:r>
      <w:r w:rsidRPr="0037741A">
        <w:rPr>
          <w:rFonts w:ascii="Garamond" w:hAnsi="Garamond"/>
        </w:rPr>
      </w:r>
      <w:r w:rsidRPr="0037741A">
        <w:rPr>
          <w:rFonts w:ascii="Garamond" w:hAnsi="Garamond"/>
        </w:rPr>
        <w:fldChar w:fldCharType="separate"/>
      </w:r>
      <w:r w:rsidRPr="0037741A">
        <w:rPr>
          <w:rFonts w:ascii="Garamond" w:hAnsi="Garamond"/>
        </w:rPr>
        <w:t xml:space="preserve">Figure </w:t>
      </w:r>
      <w:r w:rsidRPr="0037741A">
        <w:rPr>
          <w:rFonts w:ascii="Garamond" w:hAnsi="Garamond"/>
          <w:noProof/>
        </w:rPr>
        <w:t>1</w:t>
      </w:r>
      <w:r w:rsidRPr="0037741A">
        <w:rPr>
          <w:rFonts w:ascii="Garamond" w:hAnsi="Garamond"/>
        </w:rPr>
        <w:fldChar w:fldCharType="end"/>
      </w:r>
      <w:r w:rsidRPr="0037741A">
        <w:rPr>
          <w:rFonts w:ascii="Garamond" w:hAnsi="Garamond"/>
        </w:rPr>
        <w:t>).</w:t>
      </w:r>
    </w:p>
    <w:p w14:paraId="522C673F" w14:textId="0C81BBA6" w:rsidR="00243F03" w:rsidRPr="0037741A" w:rsidRDefault="00243F03" w:rsidP="002903AC">
      <w:pPr>
        <w:rPr>
          <w:rFonts w:ascii="Garamond" w:hAnsi="Garamond"/>
          <w:b/>
          <w:bCs/>
        </w:rPr>
      </w:pPr>
    </w:p>
    <w:p w14:paraId="721E0185" w14:textId="181A9ECA" w:rsidR="000D79C5" w:rsidRPr="0037741A" w:rsidRDefault="00AB7CF0" w:rsidP="000D79C5">
      <w:pPr>
        <w:keepNext/>
        <w:jc w:val="center"/>
        <w:rPr>
          <w:rFonts w:ascii="Garamond" w:hAnsi="Garamond"/>
        </w:rPr>
      </w:pPr>
      <w:r w:rsidRPr="0037741A">
        <w:rPr>
          <w:rFonts w:ascii="Garamond" w:hAnsi="Garamond"/>
        </w:rPr>
        <w:object w:dxaOrig="11010" w:dyaOrig="8281" w14:anchorId="79B2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16.5pt" o:ole="">
            <v:imagedata r:id="rId8" o:title=""/>
          </v:shape>
          <o:OLEObject Type="Embed" ProgID="Visio.Drawing.15" ShapeID="_x0000_i1025" DrawAspect="Content" ObjectID="_1742324593" r:id="rId9"/>
        </w:object>
      </w:r>
    </w:p>
    <w:p w14:paraId="68088806" w14:textId="36848D67" w:rsidR="00243F03" w:rsidRPr="0037741A" w:rsidRDefault="000D79C5" w:rsidP="000D79C5">
      <w:pPr>
        <w:pStyle w:val="Caption"/>
        <w:jc w:val="center"/>
        <w:rPr>
          <w:rFonts w:ascii="Garamond" w:hAnsi="Garamond"/>
        </w:rPr>
      </w:pPr>
      <w:bookmarkStart w:id="3" w:name="_Ref126924725"/>
      <w:r w:rsidRPr="0037741A">
        <w:rPr>
          <w:rFonts w:ascii="Garamond" w:hAnsi="Garamond"/>
        </w:rPr>
        <w:t xml:space="preserve">Figure </w:t>
      </w:r>
      <w:r w:rsidRPr="0037741A">
        <w:rPr>
          <w:rFonts w:ascii="Garamond" w:hAnsi="Garamond"/>
        </w:rPr>
        <w:fldChar w:fldCharType="begin"/>
      </w:r>
      <w:r w:rsidRPr="0037741A">
        <w:rPr>
          <w:rFonts w:ascii="Garamond" w:hAnsi="Garamond"/>
        </w:rPr>
        <w:instrText xml:space="preserve"> SEQ Figure \* ARABIC </w:instrText>
      </w:r>
      <w:r w:rsidRPr="0037741A">
        <w:rPr>
          <w:rFonts w:ascii="Garamond" w:hAnsi="Garamond"/>
        </w:rPr>
        <w:fldChar w:fldCharType="separate"/>
      </w:r>
      <w:r w:rsidR="00DE2B89" w:rsidRPr="0037741A">
        <w:rPr>
          <w:rFonts w:ascii="Garamond" w:hAnsi="Garamond"/>
          <w:noProof/>
        </w:rPr>
        <w:t>1</w:t>
      </w:r>
      <w:r w:rsidRPr="0037741A">
        <w:rPr>
          <w:rFonts w:ascii="Garamond" w:hAnsi="Garamond"/>
        </w:rPr>
        <w:fldChar w:fldCharType="end"/>
      </w:r>
      <w:bookmarkEnd w:id="3"/>
      <w:r w:rsidRPr="0037741A">
        <w:rPr>
          <w:rFonts w:ascii="Garamond" w:hAnsi="Garamond"/>
        </w:rPr>
        <w:t xml:space="preserve">: </w:t>
      </w:r>
      <w:r w:rsidR="00EA1F92" w:rsidRPr="0037741A">
        <w:rPr>
          <w:rFonts w:ascii="Garamond" w:hAnsi="Garamond"/>
        </w:rPr>
        <w:t>A</w:t>
      </w:r>
      <w:r w:rsidRPr="0037741A">
        <w:rPr>
          <w:rFonts w:ascii="Garamond" w:hAnsi="Garamond"/>
        </w:rPr>
        <w:t>pproach</w:t>
      </w:r>
      <w:r w:rsidR="00EA1F92" w:rsidRPr="0037741A">
        <w:rPr>
          <w:rFonts w:ascii="Garamond" w:hAnsi="Garamond"/>
        </w:rPr>
        <w:t>-A based on RAN1 agreements made so far</w:t>
      </w:r>
    </w:p>
    <w:p w14:paraId="5F84F50D" w14:textId="77777777" w:rsidR="00523F73" w:rsidRPr="0037741A" w:rsidRDefault="00523F73" w:rsidP="000D79C5">
      <w:pPr>
        <w:rPr>
          <w:rFonts w:ascii="Garamond" w:hAnsi="Garamond"/>
        </w:rPr>
      </w:pPr>
    </w:p>
    <w:p w14:paraId="3037D228" w14:textId="68860944" w:rsidR="008274EF" w:rsidRPr="0037741A" w:rsidRDefault="008274EF" w:rsidP="000D79C5">
      <w:pPr>
        <w:rPr>
          <w:rFonts w:ascii="Garamond" w:hAnsi="Garamond"/>
        </w:rPr>
      </w:pPr>
    </w:p>
    <w:p w14:paraId="08D3A0E7" w14:textId="6D0D263A" w:rsidR="006D0E89" w:rsidRPr="0037741A" w:rsidRDefault="006D0E89" w:rsidP="00D73614">
      <w:pPr>
        <w:pStyle w:val="Heading2"/>
        <w:spacing w:after="240"/>
        <w:rPr>
          <w:rFonts w:ascii="Garamond" w:hAnsi="Garamond"/>
        </w:rPr>
      </w:pPr>
      <w:r w:rsidRPr="0037741A">
        <w:rPr>
          <w:rFonts w:ascii="Garamond" w:hAnsi="Garamond"/>
        </w:rPr>
        <w:t>Approach B:</w:t>
      </w:r>
    </w:p>
    <w:p w14:paraId="31D84085" w14:textId="77777777" w:rsidR="008C0610" w:rsidRPr="0037741A" w:rsidRDefault="00AB7CF0" w:rsidP="005B30B2">
      <w:pPr>
        <w:pStyle w:val="Caption"/>
        <w:rPr>
          <w:rFonts w:ascii="Garamond" w:hAnsi="Garamond"/>
          <w:i w:val="0"/>
          <w:iCs w:val="0"/>
          <w:color w:val="auto"/>
          <w:sz w:val="20"/>
          <w:szCs w:val="20"/>
        </w:rPr>
      </w:pPr>
      <w:r w:rsidRPr="0037741A">
        <w:rPr>
          <w:rFonts w:ascii="Garamond" w:hAnsi="Garamond"/>
          <w:i w:val="0"/>
          <w:iCs w:val="0"/>
          <w:color w:val="auto"/>
          <w:sz w:val="20"/>
          <w:szCs w:val="20"/>
        </w:rPr>
        <w:t xml:space="preserve">Further, </w:t>
      </w:r>
      <w:r w:rsidR="007C25B1" w:rsidRPr="0037741A">
        <w:rPr>
          <w:rFonts w:ascii="Garamond" w:hAnsi="Garamond"/>
          <w:i w:val="0"/>
          <w:iCs w:val="0"/>
          <w:color w:val="auto"/>
          <w:sz w:val="20"/>
          <w:szCs w:val="20"/>
        </w:rPr>
        <w:t>A</w:t>
      </w:r>
      <w:r w:rsidRPr="0037741A">
        <w:rPr>
          <w:rFonts w:ascii="Garamond" w:hAnsi="Garamond"/>
          <w:i w:val="0"/>
          <w:iCs w:val="0"/>
          <w:color w:val="auto"/>
          <w:sz w:val="20"/>
          <w:szCs w:val="20"/>
        </w:rPr>
        <w:t>pproach</w:t>
      </w:r>
      <w:r w:rsidR="007C25B1" w:rsidRPr="0037741A">
        <w:rPr>
          <w:rFonts w:ascii="Garamond" w:hAnsi="Garamond"/>
          <w:i w:val="0"/>
          <w:iCs w:val="0"/>
          <w:color w:val="auto"/>
          <w:sz w:val="20"/>
          <w:szCs w:val="20"/>
        </w:rPr>
        <w:t>-B</w:t>
      </w:r>
      <w:r w:rsidRPr="0037741A">
        <w:rPr>
          <w:rFonts w:ascii="Garamond" w:hAnsi="Garamond"/>
          <w:i w:val="0"/>
          <w:iCs w:val="0"/>
          <w:color w:val="auto"/>
          <w:sz w:val="20"/>
          <w:szCs w:val="20"/>
        </w:rPr>
        <w:t xml:space="preserve"> is presented </w:t>
      </w:r>
      <w:r w:rsidR="00555EEA" w:rsidRPr="0037741A">
        <w:rPr>
          <w:rFonts w:ascii="Garamond" w:hAnsi="Garamond"/>
          <w:i w:val="0"/>
          <w:iCs w:val="0"/>
          <w:color w:val="auto"/>
          <w:sz w:val="20"/>
          <w:szCs w:val="20"/>
        </w:rPr>
        <w:t>in below</w:t>
      </w:r>
      <w:r w:rsidR="00DE2B89" w:rsidRPr="0037741A">
        <w:rPr>
          <w:rFonts w:ascii="Garamond" w:hAnsi="Garamond"/>
          <w:i w:val="0"/>
          <w:iCs w:val="0"/>
          <w:color w:val="auto"/>
          <w:sz w:val="20"/>
          <w:szCs w:val="20"/>
        </w:rPr>
        <w:t xml:space="preserve"> </w:t>
      </w:r>
      <w:r w:rsidR="00DE2B89" w:rsidRPr="0037741A">
        <w:rPr>
          <w:rFonts w:ascii="Garamond" w:hAnsi="Garamond"/>
          <w:i w:val="0"/>
          <w:iCs w:val="0"/>
          <w:color w:val="auto"/>
          <w:sz w:val="20"/>
          <w:szCs w:val="20"/>
        </w:rPr>
        <w:fldChar w:fldCharType="begin"/>
      </w:r>
      <w:r w:rsidR="00DE2B89" w:rsidRPr="0037741A">
        <w:rPr>
          <w:rFonts w:ascii="Garamond" w:hAnsi="Garamond"/>
          <w:i w:val="0"/>
          <w:iCs w:val="0"/>
          <w:color w:val="auto"/>
          <w:sz w:val="20"/>
          <w:szCs w:val="20"/>
        </w:rPr>
        <w:instrText xml:space="preserve"> REF _Ref126927044 \h </w:instrText>
      </w:r>
      <w:r w:rsidR="00875B05" w:rsidRPr="0037741A">
        <w:rPr>
          <w:rFonts w:ascii="Garamond" w:hAnsi="Garamond"/>
          <w:i w:val="0"/>
          <w:iCs w:val="0"/>
          <w:color w:val="auto"/>
          <w:sz w:val="20"/>
          <w:szCs w:val="20"/>
        </w:rPr>
        <w:instrText xml:space="preserve"> \* MERGEFORMAT </w:instrText>
      </w:r>
      <w:r w:rsidR="00DE2B89" w:rsidRPr="0037741A">
        <w:rPr>
          <w:rFonts w:ascii="Garamond" w:hAnsi="Garamond"/>
          <w:i w:val="0"/>
          <w:iCs w:val="0"/>
          <w:color w:val="auto"/>
          <w:sz w:val="20"/>
          <w:szCs w:val="20"/>
        </w:rPr>
      </w:r>
      <w:r w:rsidR="00DE2B89" w:rsidRPr="0037741A">
        <w:rPr>
          <w:rFonts w:ascii="Garamond" w:hAnsi="Garamond"/>
          <w:i w:val="0"/>
          <w:iCs w:val="0"/>
          <w:color w:val="auto"/>
          <w:sz w:val="20"/>
          <w:szCs w:val="20"/>
        </w:rPr>
        <w:fldChar w:fldCharType="separate"/>
      </w:r>
      <w:r w:rsidR="00DE2B89" w:rsidRPr="0037741A">
        <w:rPr>
          <w:rFonts w:ascii="Garamond" w:hAnsi="Garamond"/>
          <w:i w:val="0"/>
          <w:iCs w:val="0"/>
          <w:color w:val="auto"/>
          <w:sz w:val="20"/>
          <w:szCs w:val="20"/>
        </w:rPr>
        <w:t xml:space="preserve">Figure </w:t>
      </w:r>
      <w:r w:rsidR="00DE2B89" w:rsidRPr="0037741A">
        <w:rPr>
          <w:rFonts w:ascii="Garamond" w:hAnsi="Garamond"/>
          <w:i w:val="0"/>
          <w:iCs w:val="0"/>
          <w:noProof/>
          <w:color w:val="auto"/>
          <w:sz w:val="20"/>
          <w:szCs w:val="20"/>
        </w:rPr>
        <w:t>2</w:t>
      </w:r>
      <w:r w:rsidR="00DE2B89" w:rsidRPr="0037741A">
        <w:rPr>
          <w:rFonts w:ascii="Garamond" w:hAnsi="Garamond"/>
          <w:i w:val="0"/>
          <w:iCs w:val="0"/>
          <w:color w:val="auto"/>
          <w:sz w:val="20"/>
          <w:szCs w:val="20"/>
        </w:rPr>
        <w:fldChar w:fldCharType="end"/>
      </w:r>
      <w:r w:rsidR="00555EEA" w:rsidRPr="0037741A">
        <w:rPr>
          <w:rFonts w:ascii="Garamond" w:hAnsi="Garamond"/>
          <w:i w:val="0"/>
          <w:iCs w:val="0"/>
          <w:color w:val="auto"/>
          <w:sz w:val="20"/>
          <w:szCs w:val="20"/>
        </w:rPr>
        <w:t xml:space="preserve">, </w:t>
      </w:r>
      <w:r w:rsidRPr="0037741A">
        <w:rPr>
          <w:rFonts w:ascii="Garamond" w:hAnsi="Garamond"/>
          <w:i w:val="0"/>
          <w:iCs w:val="0"/>
          <w:color w:val="auto"/>
          <w:sz w:val="20"/>
          <w:szCs w:val="20"/>
        </w:rPr>
        <w:t xml:space="preserve">where the </w:t>
      </w:r>
      <w:r w:rsidRPr="0037741A">
        <w:rPr>
          <w:rFonts w:ascii="Garamond" w:hAnsi="Garamond"/>
          <w:i w:val="0"/>
          <w:iCs w:val="0"/>
          <w:color w:val="auto"/>
          <w:sz w:val="20"/>
          <w:szCs w:val="20"/>
          <w:u w:val="single"/>
        </w:rPr>
        <w:t xml:space="preserve">Early TA acquisition is configured by the </w:t>
      </w:r>
      <w:r w:rsidR="00EA3E1A" w:rsidRPr="0037741A">
        <w:rPr>
          <w:rFonts w:ascii="Garamond" w:hAnsi="Garamond"/>
          <w:i w:val="0"/>
          <w:iCs w:val="0"/>
          <w:color w:val="auto"/>
          <w:sz w:val="20"/>
          <w:szCs w:val="20"/>
          <w:u w:val="single"/>
        </w:rPr>
        <w:t>first-</w:t>
      </w:r>
      <w:r w:rsidRPr="0037741A">
        <w:rPr>
          <w:rFonts w:ascii="Garamond" w:hAnsi="Garamond"/>
          <w:i w:val="0"/>
          <w:iCs w:val="0"/>
          <w:color w:val="auto"/>
          <w:sz w:val="20"/>
          <w:szCs w:val="20"/>
          <w:u w:val="single"/>
        </w:rPr>
        <w:t>RRC</w:t>
      </w:r>
      <w:r w:rsidR="00EA3E1A" w:rsidRPr="0037741A">
        <w:rPr>
          <w:rFonts w:ascii="Garamond" w:hAnsi="Garamond"/>
          <w:i w:val="0"/>
          <w:iCs w:val="0"/>
          <w:color w:val="auto"/>
          <w:sz w:val="20"/>
          <w:szCs w:val="20"/>
          <w:u w:val="single"/>
        </w:rPr>
        <w:t>-</w:t>
      </w:r>
      <w:r w:rsidRPr="0037741A">
        <w:rPr>
          <w:rFonts w:ascii="Garamond" w:hAnsi="Garamond"/>
          <w:i w:val="0"/>
          <w:iCs w:val="0"/>
          <w:color w:val="auto"/>
          <w:sz w:val="20"/>
          <w:szCs w:val="20"/>
          <w:u w:val="single"/>
        </w:rPr>
        <w:t>Reconfiguration message directly</w:t>
      </w:r>
      <w:r w:rsidRPr="0037741A">
        <w:rPr>
          <w:rFonts w:ascii="Garamond" w:hAnsi="Garamond"/>
          <w:i w:val="0"/>
          <w:iCs w:val="0"/>
          <w:color w:val="auto"/>
          <w:sz w:val="20"/>
          <w:szCs w:val="20"/>
        </w:rPr>
        <w:t xml:space="preserve">. </w:t>
      </w:r>
      <w:r w:rsidR="00B74C43" w:rsidRPr="0037741A">
        <w:rPr>
          <w:rFonts w:ascii="Garamond" w:hAnsi="Garamond"/>
          <w:i w:val="0"/>
          <w:iCs w:val="0"/>
          <w:color w:val="auto"/>
          <w:sz w:val="20"/>
          <w:szCs w:val="20"/>
        </w:rPr>
        <w:t xml:space="preserve">This would be possible if the Initial UE measurement report can be used as a basis to determine potential mobility candidates and </w:t>
      </w:r>
      <w:r w:rsidR="00141A88" w:rsidRPr="0037741A">
        <w:rPr>
          <w:rFonts w:ascii="Garamond" w:hAnsi="Garamond"/>
          <w:i w:val="0"/>
          <w:iCs w:val="0"/>
          <w:color w:val="auto"/>
          <w:sz w:val="20"/>
          <w:szCs w:val="20"/>
        </w:rPr>
        <w:t>Early TA resources (PRACH or UL RS) can be reserved by the candidate cell(s) in the second step itself.</w:t>
      </w:r>
      <w:r w:rsidR="00100623" w:rsidRPr="0037741A">
        <w:rPr>
          <w:rFonts w:ascii="Garamond" w:hAnsi="Garamond"/>
          <w:i w:val="0"/>
          <w:iCs w:val="0"/>
          <w:color w:val="auto"/>
          <w:sz w:val="20"/>
          <w:szCs w:val="20"/>
        </w:rPr>
        <w:t xml:space="preserve"> </w:t>
      </w:r>
      <w:r w:rsidR="00817843" w:rsidRPr="0037741A">
        <w:rPr>
          <w:rFonts w:ascii="Garamond" w:hAnsi="Garamond"/>
          <w:i w:val="0"/>
          <w:iCs w:val="0"/>
          <w:color w:val="auto"/>
          <w:sz w:val="20"/>
          <w:szCs w:val="20"/>
        </w:rPr>
        <w:t xml:space="preserve">To this end, the first-RRC-Reconfiguration message contains an ordered list of candidate cells and the corresponding resources (PRACH/ UL RS). The UE starts with Early TA acquisition starting with the first candidate in the ordered list. </w:t>
      </w:r>
    </w:p>
    <w:p w14:paraId="791E7381" w14:textId="42CBF43A" w:rsidR="008274EF" w:rsidRPr="0037741A" w:rsidRDefault="00100623" w:rsidP="005B30B2">
      <w:pPr>
        <w:pStyle w:val="Caption"/>
        <w:rPr>
          <w:rFonts w:ascii="Garamond" w:hAnsi="Garamond"/>
          <w:i w:val="0"/>
          <w:iCs w:val="0"/>
          <w:color w:val="auto"/>
          <w:sz w:val="20"/>
          <w:szCs w:val="20"/>
        </w:rPr>
      </w:pPr>
      <w:r w:rsidRPr="0037741A">
        <w:rPr>
          <w:rFonts w:ascii="Garamond" w:hAnsi="Garamond"/>
          <w:i w:val="0"/>
          <w:iCs w:val="0"/>
          <w:color w:val="auto"/>
          <w:sz w:val="20"/>
          <w:szCs w:val="20"/>
          <w:u w:val="single"/>
        </w:rPr>
        <w:t xml:space="preserve">In addition, </w:t>
      </w:r>
      <w:r w:rsidR="00F40470" w:rsidRPr="0037741A">
        <w:rPr>
          <w:rFonts w:ascii="Garamond" w:hAnsi="Garamond"/>
          <w:i w:val="0"/>
          <w:iCs w:val="0"/>
          <w:color w:val="auto"/>
          <w:sz w:val="20"/>
          <w:szCs w:val="20"/>
          <w:u w:val="single"/>
        </w:rPr>
        <w:t xml:space="preserve">like in the Approach-A, </w:t>
      </w:r>
      <w:r w:rsidRPr="0037741A">
        <w:rPr>
          <w:rFonts w:ascii="Garamond" w:hAnsi="Garamond"/>
          <w:i w:val="0"/>
          <w:iCs w:val="0"/>
          <w:color w:val="auto"/>
          <w:sz w:val="20"/>
          <w:szCs w:val="20"/>
          <w:u w:val="single"/>
        </w:rPr>
        <w:t>the source DU can trigger a PDCCH order</w:t>
      </w:r>
      <w:r w:rsidR="005B30B2" w:rsidRPr="0037741A">
        <w:rPr>
          <w:rFonts w:ascii="Garamond" w:hAnsi="Garamond"/>
          <w:i w:val="0"/>
          <w:iCs w:val="0"/>
          <w:color w:val="auto"/>
          <w:sz w:val="20"/>
          <w:szCs w:val="20"/>
          <w:u w:val="single"/>
        </w:rPr>
        <w:t>, as shown by the dotted rectangle in</w:t>
      </w:r>
      <w:r w:rsidR="00882CE6" w:rsidRPr="0037741A">
        <w:rPr>
          <w:rFonts w:ascii="Garamond" w:hAnsi="Garamond"/>
          <w:i w:val="0"/>
          <w:iCs w:val="0"/>
          <w:color w:val="auto"/>
          <w:sz w:val="20"/>
          <w:szCs w:val="20"/>
          <w:u w:val="single"/>
        </w:rPr>
        <w:t xml:space="preserve"> below </w:t>
      </w:r>
      <w:r w:rsidR="00882CE6" w:rsidRPr="0037741A">
        <w:rPr>
          <w:rFonts w:ascii="Garamond" w:hAnsi="Garamond"/>
          <w:i w:val="0"/>
          <w:iCs w:val="0"/>
          <w:color w:val="auto"/>
          <w:sz w:val="20"/>
          <w:szCs w:val="20"/>
          <w:u w:val="single"/>
        </w:rPr>
        <w:fldChar w:fldCharType="begin"/>
      </w:r>
      <w:r w:rsidR="00882CE6" w:rsidRPr="0037741A">
        <w:rPr>
          <w:rFonts w:ascii="Garamond" w:hAnsi="Garamond"/>
          <w:i w:val="0"/>
          <w:iCs w:val="0"/>
          <w:color w:val="auto"/>
          <w:sz w:val="20"/>
          <w:szCs w:val="20"/>
          <w:u w:val="single"/>
        </w:rPr>
        <w:instrText xml:space="preserve"> REF _Ref126927044 \h </w:instrText>
      </w:r>
      <w:r w:rsidR="00875B05" w:rsidRPr="0037741A">
        <w:rPr>
          <w:rFonts w:ascii="Garamond" w:hAnsi="Garamond"/>
          <w:i w:val="0"/>
          <w:iCs w:val="0"/>
          <w:color w:val="auto"/>
          <w:sz w:val="20"/>
          <w:szCs w:val="20"/>
          <w:u w:val="single"/>
        </w:rPr>
        <w:instrText xml:space="preserve"> \* MERGEFORMAT </w:instrText>
      </w:r>
      <w:r w:rsidR="00882CE6" w:rsidRPr="0037741A">
        <w:rPr>
          <w:rFonts w:ascii="Garamond" w:hAnsi="Garamond"/>
          <w:i w:val="0"/>
          <w:iCs w:val="0"/>
          <w:color w:val="auto"/>
          <w:sz w:val="20"/>
          <w:szCs w:val="20"/>
          <w:u w:val="single"/>
        </w:rPr>
      </w:r>
      <w:r w:rsidR="00882CE6" w:rsidRPr="0037741A">
        <w:rPr>
          <w:rFonts w:ascii="Garamond" w:hAnsi="Garamond"/>
          <w:i w:val="0"/>
          <w:iCs w:val="0"/>
          <w:color w:val="auto"/>
          <w:sz w:val="20"/>
          <w:szCs w:val="20"/>
          <w:u w:val="single"/>
        </w:rPr>
        <w:fldChar w:fldCharType="separate"/>
      </w:r>
      <w:r w:rsidR="00882CE6" w:rsidRPr="0037741A">
        <w:rPr>
          <w:rFonts w:ascii="Garamond" w:hAnsi="Garamond"/>
          <w:i w:val="0"/>
          <w:iCs w:val="0"/>
          <w:color w:val="auto"/>
          <w:sz w:val="20"/>
          <w:szCs w:val="20"/>
          <w:u w:val="single"/>
        </w:rPr>
        <w:t xml:space="preserve">Figure </w:t>
      </w:r>
      <w:r w:rsidR="00882CE6" w:rsidRPr="0037741A">
        <w:rPr>
          <w:rFonts w:ascii="Garamond" w:hAnsi="Garamond"/>
          <w:i w:val="0"/>
          <w:iCs w:val="0"/>
          <w:noProof/>
          <w:color w:val="auto"/>
          <w:sz w:val="20"/>
          <w:szCs w:val="20"/>
          <w:u w:val="single"/>
        </w:rPr>
        <w:t>2</w:t>
      </w:r>
      <w:r w:rsidR="00882CE6" w:rsidRPr="0037741A">
        <w:rPr>
          <w:rFonts w:ascii="Garamond" w:hAnsi="Garamond"/>
          <w:i w:val="0"/>
          <w:iCs w:val="0"/>
          <w:color w:val="auto"/>
          <w:sz w:val="20"/>
          <w:szCs w:val="20"/>
          <w:u w:val="single"/>
        </w:rPr>
        <w:fldChar w:fldCharType="end"/>
      </w:r>
      <w:r w:rsidR="00882CE6" w:rsidRPr="0037741A">
        <w:rPr>
          <w:rFonts w:ascii="Garamond" w:hAnsi="Garamond"/>
          <w:i w:val="0"/>
          <w:iCs w:val="0"/>
          <w:color w:val="auto"/>
          <w:sz w:val="20"/>
          <w:szCs w:val="20"/>
          <w:u w:val="single"/>
        </w:rPr>
        <w:t>,</w:t>
      </w:r>
      <w:r w:rsidRPr="0037741A">
        <w:rPr>
          <w:rFonts w:ascii="Garamond" w:hAnsi="Garamond"/>
          <w:i w:val="0"/>
          <w:iCs w:val="0"/>
          <w:color w:val="auto"/>
          <w:sz w:val="20"/>
          <w:szCs w:val="20"/>
          <w:u w:val="single"/>
        </w:rPr>
        <w:t xml:space="preserve"> at any time for a candidate cell for which Early TA is not yet available with Source DU or to refresh a TA value if an acquired TA is not valid anymore (TAT has expired)</w:t>
      </w:r>
      <w:r w:rsidRPr="0037741A">
        <w:rPr>
          <w:rFonts w:ascii="Garamond" w:hAnsi="Garamond"/>
          <w:i w:val="0"/>
          <w:iCs w:val="0"/>
          <w:color w:val="auto"/>
          <w:sz w:val="20"/>
          <w:szCs w:val="20"/>
        </w:rPr>
        <w:t>.</w:t>
      </w:r>
    </w:p>
    <w:p w14:paraId="452BDDD6" w14:textId="3EEA29F1" w:rsidR="00CE4EF1" w:rsidRPr="0037741A" w:rsidRDefault="00CE4EF1" w:rsidP="000D79C5">
      <w:pPr>
        <w:rPr>
          <w:rFonts w:ascii="Garamond" w:hAnsi="Garamond"/>
        </w:rPr>
      </w:pPr>
    </w:p>
    <w:p w14:paraId="6DEC38DF" w14:textId="760309D1" w:rsidR="00DE2B89" w:rsidRPr="0037741A" w:rsidRDefault="0056049D" w:rsidP="00DE2B89">
      <w:pPr>
        <w:keepNext/>
        <w:jc w:val="center"/>
        <w:rPr>
          <w:rFonts w:ascii="Garamond" w:hAnsi="Garamond"/>
        </w:rPr>
      </w:pPr>
      <w:r w:rsidRPr="0037741A">
        <w:rPr>
          <w:rFonts w:ascii="Garamond" w:hAnsi="Garamond"/>
        </w:rPr>
        <w:object w:dxaOrig="13381" w:dyaOrig="9857" w14:anchorId="44CC2089">
          <v:shape id="_x0000_i1026" type="#_x0000_t75" style="width:468pt;height:347.25pt" o:ole="">
            <v:imagedata r:id="rId10" o:title=""/>
          </v:shape>
          <o:OLEObject Type="Embed" ProgID="Visio.Drawing.15" ShapeID="_x0000_i1026" DrawAspect="Content" ObjectID="_1742324594" r:id="rId11"/>
        </w:object>
      </w:r>
    </w:p>
    <w:p w14:paraId="4B6C1E93" w14:textId="1C3E92CD" w:rsidR="00D57B25" w:rsidRPr="0037741A" w:rsidRDefault="00DE2B89" w:rsidP="00DE2B89">
      <w:pPr>
        <w:pStyle w:val="Caption"/>
        <w:jc w:val="center"/>
        <w:rPr>
          <w:rFonts w:ascii="Garamond" w:hAnsi="Garamond"/>
        </w:rPr>
      </w:pPr>
      <w:bookmarkStart w:id="4" w:name="_Ref126927044"/>
      <w:r w:rsidRPr="0037741A">
        <w:rPr>
          <w:rFonts w:ascii="Garamond" w:hAnsi="Garamond"/>
        </w:rPr>
        <w:t xml:space="preserve">Figure </w:t>
      </w:r>
      <w:r w:rsidRPr="0037741A">
        <w:rPr>
          <w:rFonts w:ascii="Garamond" w:hAnsi="Garamond"/>
        </w:rPr>
        <w:fldChar w:fldCharType="begin"/>
      </w:r>
      <w:r w:rsidRPr="0037741A">
        <w:rPr>
          <w:rFonts w:ascii="Garamond" w:hAnsi="Garamond"/>
        </w:rPr>
        <w:instrText xml:space="preserve"> SEQ Figure \* ARABIC </w:instrText>
      </w:r>
      <w:r w:rsidRPr="0037741A">
        <w:rPr>
          <w:rFonts w:ascii="Garamond" w:hAnsi="Garamond"/>
        </w:rPr>
        <w:fldChar w:fldCharType="separate"/>
      </w:r>
      <w:r w:rsidRPr="0037741A">
        <w:rPr>
          <w:rFonts w:ascii="Garamond" w:hAnsi="Garamond"/>
          <w:noProof/>
        </w:rPr>
        <w:t>2</w:t>
      </w:r>
      <w:r w:rsidRPr="0037741A">
        <w:rPr>
          <w:rFonts w:ascii="Garamond" w:hAnsi="Garamond"/>
        </w:rPr>
        <w:fldChar w:fldCharType="end"/>
      </w:r>
      <w:bookmarkEnd w:id="4"/>
      <w:r w:rsidRPr="0037741A">
        <w:rPr>
          <w:rFonts w:ascii="Garamond" w:hAnsi="Garamond"/>
        </w:rPr>
        <w:t>: Approach-B, Early TA Procedure started by the RRC Reconfiguration Message</w:t>
      </w:r>
    </w:p>
    <w:p w14:paraId="5132A06B" w14:textId="77777777" w:rsidR="00A322B6" w:rsidRPr="0037741A" w:rsidRDefault="00A322B6" w:rsidP="00743846">
      <w:pPr>
        <w:pStyle w:val="Proposal"/>
        <w:rPr>
          <w:rFonts w:ascii="Garamond" w:hAnsi="Garamond"/>
          <w:b w:val="0"/>
          <w:bCs w:val="0"/>
        </w:rPr>
      </w:pPr>
    </w:p>
    <w:p w14:paraId="7F1A30AD" w14:textId="13814DF2" w:rsidR="004362E2" w:rsidRPr="0037741A" w:rsidRDefault="004362E2" w:rsidP="004362E2">
      <w:pPr>
        <w:rPr>
          <w:rFonts w:ascii="Garamond" w:hAnsi="Garamond"/>
        </w:rPr>
      </w:pPr>
      <w:r w:rsidRPr="0037741A">
        <w:rPr>
          <w:rFonts w:ascii="Garamond" w:hAnsi="Garamond"/>
        </w:rPr>
        <w:t>Further, the above approach show</w:t>
      </w:r>
      <w:r w:rsidR="00E32673" w:rsidRPr="0037741A">
        <w:rPr>
          <w:rFonts w:ascii="Garamond" w:hAnsi="Garamond"/>
        </w:rPr>
        <w:t>s</w:t>
      </w:r>
      <w:r w:rsidRPr="0037741A">
        <w:rPr>
          <w:rFonts w:ascii="Garamond" w:hAnsi="Garamond"/>
        </w:rPr>
        <w:t xml:space="preserve"> </w:t>
      </w:r>
      <w:r w:rsidR="00E32673" w:rsidRPr="0037741A">
        <w:rPr>
          <w:rFonts w:ascii="Garamond" w:hAnsi="Garamond"/>
        </w:rPr>
        <w:t>an UL RS based</w:t>
      </w:r>
      <w:r w:rsidRPr="0037741A">
        <w:rPr>
          <w:rFonts w:ascii="Garamond" w:hAnsi="Garamond"/>
        </w:rPr>
        <w:t xml:space="preserve"> non-RACH </w:t>
      </w:r>
      <w:r w:rsidR="00E32673" w:rsidRPr="0037741A">
        <w:rPr>
          <w:rFonts w:ascii="Garamond" w:hAnsi="Garamond"/>
        </w:rPr>
        <w:t xml:space="preserve">procedure to acquire Early TA as well as classical way of acquiring (Early) TA using RACH based procedure. </w:t>
      </w:r>
      <w:r w:rsidR="00AB30D0" w:rsidRPr="0037741A">
        <w:rPr>
          <w:rFonts w:ascii="Garamond" w:hAnsi="Garamond"/>
        </w:rPr>
        <w:t>W</w:t>
      </w:r>
      <w:r w:rsidR="00023227" w:rsidRPr="0037741A">
        <w:rPr>
          <w:rFonts w:ascii="Garamond" w:hAnsi="Garamond"/>
        </w:rPr>
        <w:t xml:space="preserve">e think both these approaches to acquire Early TA can be used and these are not competing solutions but rather these complement </w:t>
      </w:r>
      <w:r w:rsidR="009E0AEA" w:rsidRPr="0037741A">
        <w:rPr>
          <w:rFonts w:ascii="Garamond" w:hAnsi="Garamond"/>
        </w:rPr>
        <w:t>each other,</w:t>
      </w:r>
      <w:r w:rsidR="00023227" w:rsidRPr="0037741A">
        <w:rPr>
          <w:rFonts w:ascii="Garamond" w:hAnsi="Garamond"/>
        </w:rPr>
        <w:t xml:space="preserve"> and operator may choose to use one over the other based on </w:t>
      </w:r>
      <w:r w:rsidR="00E053C5" w:rsidRPr="0037741A">
        <w:rPr>
          <w:rFonts w:ascii="Garamond" w:hAnsi="Garamond"/>
        </w:rPr>
        <w:t xml:space="preserve">deployment </w:t>
      </w:r>
      <w:r w:rsidR="00023227" w:rsidRPr="0037741A">
        <w:rPr>
          <w:rFonts w:ascii="Garamond" w:hAnsi="Garamond"/>
        </w:rPr>
        <w:t>scenario</w:t>
      </w:r>
      <w:r w:rsidR="00E053C5" w:rsidRPr="0037741A">
        <w:rPr>
          <w:rFonts w:ascii="Garamond" w:hAnsi="Garamond"/>
        </w:rPr>
        <w:t>s</w:t>
      </w:r>
      <w:r w:rsidR="00023227" w:rsidRPr="0037741A">
        <w:rPr>
          <w:rFonts w:ascii="Garamond" w:hAnsi="Garamond"/>
        </w:rPr>
        <w:t>.</w:t>
      </w:r>
    </w:p>
    <w:p w14:paraId="2EE24A23" w14:textId="77777777" w:rsidR="004362E2" w:rsidRPr="0037741A" w:rsidRDefault="004362E2" w:rsidP="00743846">
      <w:pPr>
        <w:pStyle w:val="Proposal"/>
        <w:rPr>
          <w:rFonts w:ascii="Garamond" w:hAnsi="Garamond"/>
          <w:b w:val="0"/>
          <w:bCs w:val="0"/>
        </w:rPr>
      </w:pPr>
    </w:p>
    <w:p w14:paraId="130797F9" w14:textId="2ACA5316" w:rsidR="00C0262F" w:rsidRPr="0037741A" w:rsidRDefault="00A322B6" w:rsidP="00743846">
      <w:pPr>
        <w:pStyle w:val="Proposal"/>
        <w:rPr>
          <w:rFonts w:ascii="Garamond" w:hAnsi="Garamond"/>
          <w:b w:val="0"/>
          <w:bCs w:val="0"/>
        </w:rPr>
      </w:pPr>
      <w:r w:rsidRPr="0037741A">
        <w:rPr>
          <w:rFonts w:ascii="Garamond" w:hAnsi="Garamond"/>
          <w:b w:val="0"/>
          <w:bCs w:val="0"/>
        </w:rPr>
        <w:t>Based on the two approaches discussed</w:t>
      </w:r>
      <w:r w:rsidR="00D767BB" w:rsidRPr="0037741A">
        <w:rPr>
          <w:rFonts w:ascii="Garamond" w:hAnsi="Garamond"/>
          <w:b w:val="0"/>
          <w:bCs w:val="0"/>
        </w:rPr>
        <w:t>, the following proposals are made:</w:t>
      </w:r>
    </w:p>
    <w:p w14:paraId="1D07702A" w14:textId="77777777" w:rsidR="00924861" w:rsidRPr="0037741A" w:rsidRDefault="00924861" w:rsidP="00AB30D0">
      <w:pPr>
        <w:rPr>
          <w:rFonts w:ascii="Garamond" w:hAnsi="Garamond"/>
        </w:rPr>
      </w:pPr>
    </w:p>
    <w:p w14:paraId="3689597C" w14:textId="532254A6" w:rsidR="00AB30D0" w:rsidRPr="00924861" w:rsidRDefault="00AB30D0" w:rsidP="00AB30D0">
      <w:pPr>
        <w:rPr>
          <w:rFonts w:ascii="Garamond" w:hAnsi="Garamond"/>
          <w:b/>
          <w:bCs/>
        </w:rPr>
      </w:pPr>
      <w:r w:rsidRPr="00924861">
        <w:rPr>
          <w:rFonts w:ascii="Garamond" w:hAnsi="Garamond"/>
          <w:b/>
          <w:bCs/>
        </w:rPr>
        <w:t>Proposal 1: The First RRC Reconfiguration configuring candidate cells for LTM procedure contains i) candidate cell identification (PCI, Frequency etc.) ii) Random Access Preamble indices and indication of RACH occasions with the associated SSB indices for each candidate cell.</w:t>
      </w:r>
    </w:p>
    <w:p w14:paraId="4BD020CF" w14:textId="77777777" w:rsidR="00AB30D0" w:rsidRPr="00924861" w:rsidRDefault="00AB30D0" w:rsidP="00AB30D0">
      <w:pPr>
        <w:rPr>
          <w:rFonts w:ascii="Garamond" w:hAnsi="Garamond"/>
          <w:b/>
          <w:bCs/>
        </w:rPr>
      </w:pPr>
    </w:p>
    <w:p w14:paraId="744F8712" w14:textId="3D3573D3" w:rsidR="00743846" w:rsidRPr="00924861" w:rsidRDefault="00AB30D0" w:rsidP="00AB30D0">
      <w:pPr>
        <w:rPr>
          <w:rFonts w:ascii="Garamond" w:hAnsi="Garamond"/>
          <w:b/>
          <w:bCs/>
        </w:rPr>
      </w:pPr>
      <w:r w:rsidRPr="00924861">
        <w:rPr>
          <w:rFonts w:ascii="Garamond" w:hAnsi="Garamond"/>
          <w:b/>
          <w:bCs/>
        </w:rPr>
        <w:t xml:space="preserve">Proposal 2: </w:t>
      </w:r>
      <w:r w:rsidR="00743846" w:rsidRPr="00924861">
        <w:rPr>
          <w:rFonts w:ascii="Garamond" w:hAnsi="Garamond"/>
          <w:b/>
          <w:bCs/>
        </w:rPr>
        <w:t xml:space="preserve">RAN2 should discuss if the UE </w:t>
      </w:r>
      <w:r w:rsidR="00CF5DDF">
        <w:rPr>
          <w:rFonts w:ascii="Garamond" w:hAnsi="Garamond"/>
          <w:b/>
          <w:bCs/>
        </w:rPr>
        <w:t xml:space="preserve">L3 </w:t>
      </w:r>
      <w:r w:rsidR="00743846" w:rsidRPr="00924861">
        <w:rPr>
          <w:rFonts w:ascii="Garamond" w:hAnsi="Garamond"/>
          <w:b/>
          <w:bCs/>
        </w:rPr>
        <w:t>measurement report can be used as a basis to determine potential candidates</w:t>
      </w:r>
      <w:r w:rsidR="003F5508" w:rsidRPr="00924861">
        <w:rPr>
          <w:rFonts w:ascii="Garamond" w:hAnsi="Garamond"/>
          <w:b/>
          <w:bCs/>
        </w:rPr>
        <w:t xml:space="preserve"> for Early TA acquisition</w:t>
      </w:r>
      <w:r w:rsidR="00743846" w:rsidRPr="00924861">
        <w:rPr>
          <w:rFonts w:ascii="Garamond" w:hAnsi="Garamond"/>
          <w:b/>
          <w:bCs/>
        </w:rPr>
        <w:t>.</w:t>
      </w:r>
    </w:p>
    <w:p w14:paraId="65E792E7" w14:textId="77777777" w:rsidR="00AB30D0" w:rsidRDefault="00AB30D0" w:rsidP="00AB30D0">
      <w:pPr>
        <w:rPr>
          <w:rFonts w:ascii="Garamond" w:hAnsi="Garamond"/>
          <w:b/>
          <w:bCs/>
        </w:rPr>
      </w:pPr>
    </w:p>
    <w:p w14:paraId="11796A4D" w14:textId="5A668E1B" w:rsidR="00B20B05" w:rsidRDefault="00B20B05" w:rsidP="00AB30D0">
      <w:pPr>
        <w:rPr>
          <w:rFonts w:ascii="Garamond" w:hAnsi="Garamond"/>
          <w:b/>
          <w:bCs/>
        </w:rPr>
      </w:pPr>
      <w:r w:rsidRPr="00DF3016">
        <w:rPr>
          <w:rFonts w:ascii="Garamond" w:hAnsi="Garamond"/>
          <w:b/>
          <w:bCs/>
        </w:rPr>
        <w:t>Obser</w:t>
      </w:r>
      <w:r>
        <w:rPr>
          <w:rFonts w:ascii="Garamond" w:hAnsi="Garamond"/>
          <w:b/>
          <w:bCs/>
        </w:rPr>
        <w:t xml:space="preserve">vation 1: </w:t>
      </w:r>
      <w:r w:rsidRPr="00924861">
        <w:rPr>
          <w:rFonts w:ascii="Garamond" w:hAnsi="Garamond"/>
          <w:b/>
          <w:bCs/>
        </w:rPr>
        <w:t xml:space="preserve">Early TA resources (PRACH or UL RS) </w:t>
      </w:r>
      <w:r w:rsidR="00282647">
        <w:rPr>
          <w:rFonts w:ascii="Garamond" w:hAnsi="Garamond"/>
          <w:b/>
          <w:bCs/>
        </w:rPr>
        <w:t>needs to</w:t>
      </w:r>
      <w:r w:rsidRPr="00924861">
        <w:rPr>
          <w:rFonts w:ascii="Garamond" w:hAnsi="Garamond"/>
          <w:b/>
          <w:bCs/>
        </w:rPr>
        <w:t xml:space="preserve"> be reserved by the candidate </w:t>
      </w:r>
      <w:r>
        <w:rPr>
          <w:rFonts w:ascii="Garamond" w:hAnsi="Garamond"/>
          <w:b/>
          <w:bCs/>
        </w:rPr>
        <w:t>DU.</w:t>
      </w:r>
    </w:p>
    <w:p w14:paraId="6AD86651" w14:textId="77777777" w:rsidR="00B20B05" w:rsidRDefault="00B20B05" w:rsidP="00AB30D0">
      <w:pPr>
        <w:rPr>
          <w:rFonts w:ascii="Garamond" w:hAnsi="Garamond"/>
          <w:b/>
          <w:bCs/>
        </w:rPr>
      </w:pPr>
    </w:p>
    <w:p w14:paraId="52BD249A" w14:textId="3AC87236" w:rsidR="008D25A4" w:rsidRPr="00DF3016" w:rsidRDefault="008D25A4" w:rsidP="00AB30D0">
      <w:pPr>
        <w:rPr>
          <w:rFonts w:ascii="Garamond" w:hAnsi="Garamond"/>
          <w:b/>
          <w:bCs/>
        </w:rPr>
      </w:pPr>
      <w:r w:rsidRPr="00DF3016">
        <w:rPr>
          <w:rFonts w:ascii="Garamond" w:hAnsi="Garamond"/>
          <w:b/>
          <w:bCs/>
        </w:rPr>
        <w:t xml:space="preserve">Proposal </w:t>
      </w:r>
      <w:r w:rsidR="00FF1050" w:rsidRPr="00DF3016">
        <w:rPr>
          <w:rFonts w:ascii="Garamond" w:hAnsi="Garamond"/>
          <w:b/>
          <w:bCs/>
        </w:rPr>
        <w:t>3</w:t>
      </w:r>
      <w:r w:rsidRPr="00DF3016">
        <w:rPr>
          <w:rFonts w:ascii="Garamond" w:hAnsi="Garamond"/>
          <w:b/>
          <w:bCs/>
        </w:rPr>
        <w:t xml:space="preserve">: </w:t>
      </w:r>
      <w:r w:rsidR="00282647" w:rsidRPr="00DF3016">
        <w:rPr>
          <w:rFonts w:ascii="Garamond" w:hAnsi="Garamond"/>
          <w:b/>
          <w:bCs/>
        </w:rPr>
        <w:t xml:space="preserve">A </w:t>
      </w:r>
      <w:r w:rsidR="00706D14" w:rsidRPr="00DF3016">
        <w:rPr>
          <w:rFonts w:ascii="Garamond" w:hAnsi="Garamond"/>
          <w:b/>
          <w:bCs/>
        </w:rPr>
        <w:t>candidate DU configure</w:t>
      </w:r>
      <w:r w:rsidR="00282647" w:rsidRPr="00DF3016">
        <w:rPr>
          <w:rFonts w:ascii="Garamond" w:hAnsi="Garamond"/>
          <w:b/>
          <w:bCs/>
        </w:rPr>
        <w:t>s</w:t>
      </w:r>
      <w:r w:rsidR="00706D14" w:rsidRPr="00DF3016">
        <w:rPr>
          <w:rFonts w:ascii="Garamond" w:hAnsi="Garamond"/>
          <w:b/>
          <w:bCs/>
        </w:rPr>
        <w:t xml:space="preserve"> resource for early TA based on the request from</w:t>
      </w:r>
      <w:r w:rsidR="00B646FE" w:rsidRPr="00DF3016">
        <w:rPr>
          <w:rFonts w:ascii="Garamond" w:hAnsi="Garamond"/>
          <w:b/>
          <w:bCs/>
        </w:rPr>
        <w:t xml:space="preserve"> source cell (=</w:t>
      </w:r>
      <w:r w:rsidR="00706D14" w:rsidRPr="00DF3016">
        <w:rPr>
          <w:rFonts w:ascii="Garamond" w:hAnsi="Garamond"/>
          <w:b/>
          <w:bCs/>
        </w:rPr>
        <w:t>CU</w:t>
      </w:r>
      <w:r w:rsidR="00B646FE" w:rsidRPr="00DF3016">
        <w:rPr>
          <w:rFonts w:ascii="Garamond" w:hAnsi="Garamond"/>
          <w:b/>
          <w:bCs/>
        </w:rPr>
        <w:t>).</w:t>
      </w:r>
    </w:p>
    <w:p w14:paraId="7799F5AD" w14:textId="77777777" w:rsidR="00026311" w:rsidRPr="00DF3016" w:rsidRDefault="00026311" w:rsidP="00AB30D0">
      <w:pPr>
        <w:rPr>
          <w:rFonts w:ascii="Garamond" w:hAnsi="Garamond"/>
          <w:b/>
          <w:bCs/>
        </w:rPr>
      </w:pPr>
    </w:p>
    <w:p w14:paraId="0A7045F9" w14:textId="553CC055" w:rsidR="00FF1050" w:rsidRDefault="00AB30D0" w:rsidP="00AB30D0">
      <w:pPr>
        <w:rPr>
          <w:rFonts w:ascii="Garamond" w:hAnsi="Garamond"/>
          <w:b/>
          <w:bCs/>
        </w:rPr>
      </w:pPr>
      <w:r w:rsidRPr="00924861">
        <w:rPr>
          <w:rFonts w:ascii="Garamond" w:hAnsi="Garamond"/>
          <w:b/>
          <w:bCs/>
        </w:rPr>
        <w:t xml:space="preserve">Proposal </w:t>
      </w:r>
      <w:r w:rsidR="008D2EC8">
        <w:rPr>
          <w:rFonts w:ascii="Garamond" w:hAnsi="Garamond"/>
          <w:b/>
          <w:bCs/>
        </w:rPr>
        <w:t>4</w:t>
      </w:r>
      <w:r w:rsidRPr="00924861">
        <w:rPr>
          <w:rFonts w:ascii="Garamond" w:hAnsi="Garamond"/>
          <w:b/>
          <w:bCs/>
        </w:rPr>
        <w:t xml:space="preserve">: </w:t>
      </w:r>
      <w:r w:rsidR="00A70EA4" w:rsidRPr="00924861">
        <w:rPr>
          <w:rFonts w:ascii="Garamond" w:hAnsi="Garamond"/>
          <w:b/>
          <w:bCs/>
        </w:rPr>
        <w:t xml:space="preserve">RAN2 should </w:t>
      </w:r>
      <w:r w:rsidR="002D0F99" w:rsidRPr="00924861">
        <w:rPr>
          <w:rFonts w:ascii="Garamond" w:hAnsi="Garamond"/>
          <w:b/>
          <w:bCs/>
        </w:rPr>
        <w:t xml:space="preserve">decide </w:t>
      </w:r>
      <w:r w:rsidR="00282647">
        <w:rPr>
          <w:rFonts w:ascii="Garamond" w:hAnsi="Garamond"/>
          <w:b/>
          <w:bCs/>
        </w:rPr>
        <w:t>a suitable time when a source cell requests candidate DU for Early TA resources e.g., can it be assumed by the UE that Early TA resources are available immediately after receiving the first reconfiguration or that the UE must wait for a PDCCH order.</w:t>
      </w:r>
    </w:p>
    <w:p w14:paraId="52AB5F39" w14:textId="77777777" w:rsidR="00282647" w:rsidRDefault="00282647" w:rsidP="00AB30D0">
      <w:pPr>
        <w:rPr>
          <w:rFonts w:ascii="Garamond" w:hAnsi="Garamond"/>
          <w:b/>
          <w:bCs/>
        </w:rPr>
      </w:pPr>
    </w:p>
    <w:p w14:paraId="18DA55C4" w14:textId="77777777" w:rsidR="004D4259" w:rsidRPr="0037741A" w:rsidRDefault="004D4259" w:rsidP="004D4259">
      <w:pPr>
        <w:pStyle w:val="Proposal"/>
        <w:tabs>
          <w:tab w:val="clear" w:pos="1304"/>
        </w:tabs>
        <w:ind w:left="0" w:firstLine="0"/>
        <w:rPr>
          <w:rFonts w:ascii="Garamond" w:hAnsi="Garamond"/>
        </w:rPr>
      </w:pPr>
    </w:p>
    <w:p w14:paraId="79468DD7" w14:textId="1D30B10E" w:rsidR="004D4259" w:rsidRPr="0037741A" w:rsidRDefault="004D4259" w:rsidP="004D4259">
      <w:pPr>
        <w:pStyle w:val="Proposal"/>
        <w:tabs>
          <w:tab w:val="clear" w:pos="1304"/>
        </w:tabs>
        <w:ind w:left="0" w:firstLine="0"/>
        <w:rPr>
          <w:rFonts w:ascii="Garamond" w:hAnsi="Garamond"/>
          <w:b w:val="0"/>
          <w:bCs w:val="0"/>
        </w:rPr>
      </w:pPr>
      <w:r w:rsidRPr="0037741A">
        <w:rPr>
          <w:rFonts w:ascii="Garamond" w:hAnsi="Garamond"/>
          <w:b w:val="0"/>
          <w:bCs w:val="0"/>
        </w:rPr>
        <w:t>Finally, we think Approach-B benefits from really early TA acquisition possibility and can utilize both RAN1 and RAN2 expertise to optimize LTM procedure and therefore we propose:</w:t>
      </w:r>
    </w:p>
    <w:p w14:paraId="7B1E5058" w14:textId="1698D009" w:rsidR="006525F7" w:rsidRPr="00924861" w:rsidRDefault="00AB30D0" w:rsidP="00AB30D0">
      <w:pPr>
        <w:rPr>
          <w:rFonts w:ascii="Garamond" w:hAnsi="Garamond"/>
          <w:b/>
          <w:bCs/>
        </w:rPr>
      </w:pPr>
      <w:r w:rsidRPr="00924861">
        <w:rPr>
          <w:rFonts w:ascii="Garamond" w:hAnsi="Garamond"/>
          <w:b/>
          <w:bCs/>
        </w:rPr>
        <w:t xml:space="preserve">Proposal 4: </w:t>
      </w:r>
      <w:r w:rsidR="006525F7" w:rsidRPr="00924861">
        <w:rPr>
          <w:rFonts w:ascii="Garamond" w:hAnsi="Garamond"/>
          <w:b/>
          <w:bCs/>
        </w:rPr>
        <w:t>RRC Reconfiguration triggered Early TA acquisition is supported for LTM.</w:t>
      </w:r>
    </w:p>
    <w:p w14:paraId="0CFB3250" w14:textId="77777777" w:rsidR="0037741A" w:rsidRPr="00924861" w:rsidRDefault="0037741A" w:rsidP="00AB30D0">
      <w:pPr>
        <w:rPr>
          <w:rFonts w:ascii="Garamond" w:hAnsi="Garamond"/>
          <w:b/>
          <w:bCs/>
        </w:rPr>
      </w:pPr>
    </w:p>
    <w:p w14:paraId="6A90787D" w14:textId="5D151609" w:rsidR="00A322B6" w:rsidRPr="00924861" w:rsidRDefault="00AB30D0" w:rsidP="00AB30D0">
      <w:pPr>
        <w:rPr>
          <w:rFonts w:ascii="Garamond" w:hAnsi="Garamond"/>
          <w:b/>
          <w:bCs/>
        </w:rPr>
      </w:pPr>
      <w:r w:rsidRPr="00924861">
        <w:rPr>
          <w:rFonts w:ascii="Garamond" w:hAnsi="Garamond"/>
          <w:b/>
          <w:bCs/>
        </w:rPr>
        <w:t xml:space="preserve">Proposal 5: </w:t>
      </w:r>
      <w:r w:rsidR="006525F7" w:rsidRPr="00924861">
        <w:rPr>
          <w:rFonts w:ascii="Garamond" w:hAnsi="Garamond"/>
          <w:b/>
          <w:bCs/>
        </w:rPr>
        <w:t>PDCCH order and RRC Reconfiguration triggered Early TA acquisition can be supported simultaneously.</w:t>
      </w:r>
    </w:p>
    <w:p w14:paraId="2ED7C669" w14:textId="77777777" w:rsidR="00A322B6" w:rsidRDefault="00A322B6" w:rsidP="009B69AC">
      <w:pPr>
        <w:pStyle w:val="Proposal"/>
        <w:ind w:left="0" w:firstLine="0"/>
        <w:rPr>
          <w:rFonts w:ascii="Garamond" w:hAnsi="Garamond"/>
        </w:rPr>
      </w:pPr>
    </w:p>
    <w:p w14:paraId="3A425E96" w14:textId="69B55188" w:rsidR="00DA2C5E" w:rsidRDefault="00DA2C5E" w:rsidP="008234BF">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sidRPr="007022BC">
        <w:rPr>
          <w:rFonts w:ascii="Times New Roman" w:hAnsi="Times New Roman"/>
          <w:b/>
          <w:sz w:val="32"/>
          <w:szCs w:val="32"/>
          <w:lang w:eastAsia="zh-CN"/>
        </w:rPr>
        <w:t>Conclusion</w:t>
      </w:r>
    </w:p>
    <w:p w14:paraId="6C05C8FD" w14:textId="4B502211" w:rsidR="002B6EA4" w:rsidRPr="00DF3016" w:rsidRDefault="002B6EA4" w:rsidP="002B6EA4">
      <w:pPr>
        <w:rPr>
          <w:rFonts w:ascii="Garamond" w:hAnsi="Garamond"/>
        </w:rPr>
      </w:pPr>
      <w:r w:rsidRPr="00DF3016">
        <w:rPr>
          <w:rFonts w:ascii="Garamond" w:hAnsi="Garamond"/>
        </w:rPr>
        <w:t>Based on the relevant RAN1 and RAN2 agreements, two example LTM procedural designs were presented in this paper and accordingly, the following proposals are made:</w:t>
      </w:r>
    </w:p>
    <w:p w14:paraId="5C37D046" w14:textId="643DEF0F" w:rsidR="005E4B96" w:rsidRDefault="005E4B96" w:rsidP="002B6EA4"/>
    <w:p w14:paraId="2CCFC3D1" w14:textId="77777777" w:rsidR="007A3802" w:rsidRPr="00924861" w:rsidRDefault="007A3802" w:rsidP="007A3802">
      <w:pPr>
        <w:rPr>
          <w:rFonts w:ascii="Garamond" w:hAnsi="Garamond"/>
          <w:b/>
          <w:bCs/>
        </w:rPr>
      </w:pPr>
      <w:r w:rsidRPr="00924861">
        <w:rPr>
          <w:rFonts w:ascii="Garamond" w:hAnsi="Garamond"/>
          <w:b/>
          <w:bCs/>
        </w:rPr>
        <w:t>Proposal 1: The First RRC Reconfiguration configuring candidate cells for LTM procedure contains i) candidate cell identification (PCI, Frequency etc.) ii) Random Access Preamble indices and indication of RACH occasions with the associated SSB indices for each candidate cell.</w:t>
      </w:r>
    </w:p>
    <w:p w14:paraId="39980277" w14:textId="77777777" w:rsidR="007A3802" w:rsidRPr="00924861" w:rsidRDefault="007A3802" w:rsidP="007A3802">
      <w:pPr>
        <w:rPr>
          <w:rFonts w:ascii="Garamond" w:hAnsi="Garamond"/>
          <w:b/>
          <w:bCs/>
        </w:rPr>
      </w:pPr>
    </w:p>
    <w:p w14:paraId="17A36B65" w14:textId="77777777" w:rsidR="007A3802" w:rsidRPr="00924861" w:rsidRDefault="007A3802" w:rsidP="007A3802">
      <w:pPr>
        <w:rPr>
          <w:rFonts w:ascii="Garamond" w:hAnsi="Garamond"/>
          <w:b/>
          <w:bCs/>
        </w:rPr>
      </w:pPr>
      <w:r w:rsidRPr="00924861">
        <w:rPr>
          <w:rFonts w:ascii="Garamond" w:hAnsi="Garamond"/>
          <w:b/>
          <w:bCs/>
        </w:rPr>
        <w:t>Proposal 2: RAN2 should discuss if the Initial UE measurement report can be used as a basis to determine potential candidates for Early TA acquisition.</w:t>
      </w:r>
    </w:p>
    <w:p w14:paraId="735BC533" w14:textId="77777777" w:rsidR="007A3802" w:rsidRDefault="007A3802" w:rsidP="007A3802">
      <w:pPr>
        <w:rPr>
          <w:rFonts w:ascii="Garamond" w:hAnsi="Garamond"/>
          <w:b/>
          <w:bCs/>
        </w:rPr>
      </w:pPr>
    </w:p>
    <w:p w14:paraId="22A9289F" w14:textId="77777777" w:rsidR="007A3802" w:rsidRPr="00DF3016" w:rsidRDefault="007A3802" w:rsidP="007A3802">
      <w:pPr>
        <w:rPr>
          <w:rFonts w:ascii="Garamond" w:hAnsi="Garamond"/>
        </w:rPr>
      </w:pPr>
      <w:r w:rsidRPr="00DF3016">
        <w:rPr>
          <w:rFonts w:ascii="Garamond" w:hAnsi="Garamond"/>
        </w:rPr>
        <w:t>Observation 1: Early TA resources (PRACH or UL RS) needs to be reserved by the candidate DU.</w:t>
      </w:r>
    </w:p>
    <w:p w14:paraId="4E880F3D" w14:textId="77777777" w:rsidR="007A3802" w:rsidRDefault="007A3802" w:rsidP="007A3802">
      <w:pPr>
        <w:rPr>
          <w:rFonts w:ascii="Garamond" w:hAnsi="Garamond"/>
          <w:b/>
          <w:bCs/>
        </w:rPr>
      </w:pPr>
    </w:p>
    <w:p w14:paraId="54BD68D5" w14:textId="77777777" w:rsidR="007A3802" w:rsidRPr="00543ED5" w:rsidRDefault="007A3802" w:rsidP="007A3802">
      <w:pPr>
        <w:rPr>
          <w:rFonts w:ascii="Garamond" w:hAnsi="Garamond"/>
          <w:b/>
          <w:bCs/>
        </w:rPr>
      </w:pPr>
      <w:r w:rsidRPr="00543ED5">
        <w:rPr>
          <w:rFonts w:ascii="Garamond" w:hAnsi="Garamond" w:hint="eastAsia"/>
          <w:b/>
          <w:bCs/>
        </w:rPr>
        <w:t>P</w:t>
      </w:r>
      <w:r w:rsidRPr="00543ED5">
        <w:rPr>
          <w:rFonts w:ascii="Garamond" w:hAnsi="Garamond"/>
          <w:b/>
          <w:bCs/>
        </w:rPr>
        <w:t>roposal 3: A candidate DU configures resource for early TA based on the request from source cell (=CU).</w:t>
      </w:r>
    </w:p>
    <w:p w14:paraId="016B8CC6" w14:textId="77777777" w:rsidR="007A3802" w:rsidRPr="00543ED5" w:rsidRDefault="007A3802" w:rsidP="007A3802">
      <w:pPr>
        <w:rPr>
          <w:rFonts w:ascii="Garamond" w:hAnsi="Garamond"/>
          <w:b/>
          <w:bCs/>
        </w:rPr>
      </w:pPr>
    </w:p>
    <w:p w14:paraId="16042FCB" w14:textId="77777777" w:rsidR="007A3802" w:rsidRDefault="007A3802" w:rsidP="007A3802">
      <w:pPr>
        <w:rPr>
          <w:rFonts w:ascii="Garamond" w:hAnsi="Garamond"/>
          <w:b/>
          <w:bCs/>
        </w:rPr>
      </w:pPr>
      <w:r w:rsidRPr="00924861">
        <w:rPr>
          <w:rFonts w:ascii="Garamond" w:hAnsi="Garamond"/>
          <w:b/>
          <w:bCs/>
        </w:rPr>
        <w:t xml:space="preserve">Proposal </w:t>
      </w:r>
      <w:r>
        <w:rPr>
          <w:rFonts w:ascii="Garamond" w:hAnsi="Garamond"/>
          <w:b/>
          <w:bCs/>
        </w:rPr>
        <w:t>4</w:t>
      </w:r>
      <w:r w:rsidRPr="00924861">
        <w:rPr>
          <w:rFonts w:ascii="Garamond" w:hAnsi="Garamond"/>
          <w:b/>
          <w:bCs/>
        </w:rPr>
        <w:t xml:space="preserve">: RAN2 should decide </w:t>
      </w:r>
      <w:r>
        <w:rPr>
          <w:rFonts w:ascii="Garamond" w:hAnsi="Garamond"/>
          <w:b/>
          <w:bCs/>
        </w:rPr>
        <w:t>a suitable time when a source cell requests candidate DU for Early TA resources e.g., can it be assumed by the UE that Early TA resources are available immediately after receiving the first reconfiguration or that the UE must wait for a PDCCH order.</w:t>
      </w:r>
    </w:p>
    <w:p w14:paraId="54F8E7FA" w14:textId="77777777" w:rsidR="007A3802" w:rsidRPr="0037741A" w:rsidRDefault="007A3802" w:rsidP="007A3802">
      <w:pPr>
        <w:pStyle w:val="Proposal"/>
        <w:tabs>
          <w:tab w:val="clear" w:pos="1304"/>
        </w:tabs>
        <w:ind w:left="0" w:firstLine="0"/>
        <w:rPr>
          <w:rFonts w:ascii="Garamond" w:hAnsi="Garamond"/>
        </w:rPr>
      </w:pPr>
    </w:p>
    <w:p w14:paraId="4A844EB1" w14:textId="77777777" w:rsidR="007A3802" w:rsidRPr="00924861" w:rsidRDefault="007A3802" w:rsidP="007A3802">
      <w:pPr>
        <w:rPr>
          <w:rFonts w:ascii="Garamond" w:hAnsi="Garamond"/>
          <w:b/>
          <w:bCs/>
        </w:rPr>
      </w:pPr>
      <w:r w:rsidRPr="00924861">
        <w:rPr>
          <w:rFonts w:ascii="Garamond" w:hAnsi="Garamond"/>
          <w:b/>
          <w:bCs/>
        </w:rPr>
        <w:t>Proposal 4: RRC Reconfiguration triggered Early TA acquisition is supported for LTM.</w:t>
      </w:r>
    </w:p>
    <w:p w14:paraId="50CBB40B" w14:textId="77777777" w:rsidR="007A3802" w:rsidRPr="00924861" w:rsidRDefault="007A3802" w:rsidP="007A3802">
      <w:pPr>
        <w:rPr>
          <w:rFonts w:ascii="Garamond" w:hAnsi="Garamond"/>
          <w:b/>
          <w:bCs/>
        </w:rPr>
      </w:pPr>
    </w:p>
    <w:p w14:paraId="250EBE4C" w14:textId="220176C3" w:rsidR="006C4E87" w:rsidRPr="005159EE" w:rsidRDefault="007A3802" w:rsidP="00E21EFA">
      <w:pPr>
        <w:rPr>
          <w:rFonts w:ascii="Garamond" w:hAnsi="Garamond"/>
        </w:rPr>
      </w:pPr>
      <w:r w:rsidRPr="00924861">
        <w:rPr>
          <w:rFonts w:ascii="Garamond" w:hAnsi="Garamond"/>
          <w:b/>
          <w:bCs/>
        </w:rPr>
        <w:t>Proposal 5: PDCCH order and RRC Reconfiguration triggered Early TA acquisition can be supported simultaneously</w:t>
      </w:r>
      <w:r w:rsidR="005E4B96" w:rsidRPr="00924861">
        <w:rPr>
          <w:rFonts w:ascii="Garamond" w:hAnsi="Garamond"/>
          <w:b/>
          <w:bCs/>
        </w:rPr>
        <w:t>.</w:t>
      </w:r>
    </w:p>
    <w:p w14:paraId="7230192A" w14:textId="1AC07423" w:rsidR="00DA2C5E" w:rsidRDefault="00DA2C5E" w:rsidP="00CE1169">
      <w:pPr>
        <w:pStyle w:val="Proposal"/>
        <w:ind w:left="0" w:firstLine="0"/>
        <w:rPr>
          <w:rFonts w:ascii="Garamond" w:hAnsi="Garamond"/>
        </w:rPr>
      </w:pPr>
    </w:p>
    <w:p w14:paraId="417A16FA" w14:textId="04A20B76" w:rsidR="00047442" w:rsidRDefault="00DF3016" w:rsidP="00047442">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Pr>
          <w:rFonts w:ascii="Times New Roman" w:hAnsi="Times New Roman"/>
          <w:b/>
          <w:sz w:val="32"/>
          <w:szCs w:val="32"/>
          <w:lang w:eastAsia="zh-CN"/>
        </w:rPr>
        <w:t>Reference</w:t>
      </w:r>
    </w:p>
    <w:p w14:paraId="5CE9BE81" w14:textId="7DBAD6FE" w:rsidR="000326CD" w:rsidRPr="000326CD" w:rsidRDefault="000326CD" w:rsidP="004820CE">
      <w:pPr>
        <w:pStyle w:val="Proposal"/>
        <w:rPr>
          <w:rFonts w:ascii="Times New Roman" w:hAnsi="Times New Roman"/>
          <w:b w:val="0"/>
          <w:bCs w:val="0"/>
        </w:rPr>
      </w:pPr>
      <w:r w:rsidRPr="000326CD">
        <w:rPr>
          <w:rFonts w:ascii="Times New Roman" w:hAnsi="Times New Roman"/>
          <w:b w:val="0"/>
          <w:bCs w:val="0"/>
        </w:rPr>
        <w:t>[1]:</w:t>
      </w:r>
      <w:r w:rsidR="000E7BFA" w:rsidRPr="000E7BFA">
        <w:t xml:space="preserve"> </w:t>
      </w:r>
      <w:r w:rsidR="000E7BFA" w:rsidRPr="000E7BFA">
        <w:rPr>
          <w:rFonts w:ascii="Times New Roman" w:hAnsi="Times New Roman"/>
          <w:b w:val="0"/>
          <w:bCs w:val="0"/>
        </w:rPr>
        <w:t>R2-</w:t>
      </w:r>
      <w:r w:rsidR="008A3561" w:rsidRPr="008A3561">
        <w:rPr>
          <w:rFonts w:ascii="Times New Roman" w:hAnsi="Times New Roman"/>
          <w:b w:val="0"/>
          <w:bCs w:val="0"/>
        </w:rPr>
        <w:t>23036</w:t>
      </w:r>
      <w:r w:rsidR="008A3561">
        <w:rPr>
          <w:rFonts w:ascii="Times New Roman" w:hAnsi="Times New Roman"/>
          <w:b w:val="0"/>
          <w:bCs w:val="0"/>
        </w:rPr>
        <w:t>49</w:t>
      </w:r>
      <w:r w:rsidR="008A3561" w:rsidRPr="008A3561">
        <w:rPr>
          <w:rFonts w:ascii="Times New Roman" w:hAnsi="Times New Roman"/>
          <w:b w:val="0"/>
          <w:bCs w:val="0"/>
        </w:rPr>
        <w:t xml:space="preserve"> </w:t>
      </w:r>
      <w:r w:rsidR="000E7BFA" w:rsidRPr="000E7BFA">
        <w:rPr>
          <w:rFonts w:ascii="Times New Roman" w:hAnsi="Times New Roman"/>
          <w:b w:val="0"/>
          <w:bCs w:val="0"/>
        </w:rPr>
        <w:t>Details of Early TA</w:t>
      </w:r>
      <w:r w:rsidR="00306DC7">
        <w:rPr>
          <w:rFonts w:ascii="Times New Roman" w:hAnsi="Times New Roman"/>
          <w:b w:val="0"/>
          <w:bCs w:val="0"/>
        </w:rPr>
        <w:t xml:space="preserve"> work</w:t>
      </w:r>
      <w:r w:rsidR="00705C3D">
        <w:rPr>
          <w:rFonts w:ascii="Times New Roman" w:hAnsi="Times New Roman"/>
          <w:b w:val="0"/>
          <w:bCs w:val="0"/>
        </w:rPr>
        <w:tab/>
      </w:r>
      <w:r w:rsidR="000E7BFA">
        <w:rPr>
          <w:rFonts w:ascii="Times New Roman" w:hAnsi="Times New Roman"/>
          <w:b w:val="0"/>
          <w:bCs w:val="0"/>
        </w:rPr>
        <w:t>Lenovo</w:t>
      </w:r>
    </w:p>
    <w:sectPr w:rsidR="000326CD" w:rsidRPr="000326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81E6F" w14:textId="77777777" w:rsidR="00332917" w:rsidRDefault="00332917" w:rsidP="007B2783">
      <w:r>
        <w:separator/>
      </w:r>
    </w:p>
  </w:endnote>
  <w:endnote w:type="continuationSeparator" w:id="0">
    <w:p w14:paraId="0155821D" w14:textId="77777777" w:rsidR="00332917" w:rsidRDefault="00332917" w:rsidP="007B2783">
      <w:r>
        <w:continuationSeparator/>
      </w:r>
    </w:p>
  </w:endnote>
  <w:endnote w:type="continuationNotice" w:id="1">
    <w:p w14:paraId="21606712" w14:textId="77777777" w:rsidR="00332917" w:rsidRDefault="0033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568F8" w14:textId="77777777" w:rsidR="00332917" w:rsidRDefault="00332917" w:rsidP="007B2783">
      <w:r>
        <w:separator/>
      </w:r>
    </w:p>
  </w:footnote>
  <w:footnote w:type="continuationSeparator" w:id="0">
    <w:p w14:paraId="6006D58A" w14:textId="77777777" w:rsidR="00332917" w:rsidRDefault="00332917" w:rsidP="007B2783">
      <w:r>
        <w:continuationSeparator/>
      </w:r>
    </w:p>
  </w:footnote>
  <w:footnote w:type="continuationNotice" w:id="1">
    <w:p w14:paraId="4FB73FB6" w14:textId="77777777" w:rsidR="00332917" w:rsidRDefault="00332917"/>
  </w:footnote>
  <w:footnote w:id="2">
    <w:p w14:paraId="4DB0B582" w14:textId="7FAAD3EE" w:rsidR="007B2783" w:rsidRPr="007B2783" w:rsidRDefault="007B2783">
      <w:pPr>
        <w:pStyle w:val="FootnoteText"/>
        <w:rPr>
          <w:lang w:val="en-US"/>
        </w:rPr>
      </w:pPr>
      <w:r w:rsidRPr="007B2783">
        <w:rPr>
          <w:rStyle w:val="FootnoteReference"/>
          <w:sz w:val="16"/>
          <w:szCs w:val="16"/>
        </w:rPr>
        <w:footnoteRef/>
      </w:r>
      <w:r w:rsidRPr="007B2783">
        <w:rPr>
          <w:sz w:val="16"/>
          <w:szCs w:val="16"/>
        </w:rPr>
        <w:t xml:space="preserve"> </w:t>
      </w:r>
      <w:r w:rsidRPr="007B2783">
        <w:rPr>
          <w:sz w:val="16"/>
          <w:szCs w:val="16"/>
          <w:lang w:val="en-US"/>
        </w:rPr>
        <w:t>In RAN2#121, there were not discussion on this subject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01FFF"/>
    <w:multiLevelType w:val="hybridMultilevel"/>
    <w:tmpl w:val="AD5E5BC6"/>
    <w:lvl w:ilvl="0" w:tplc="8C88A18A">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E4A08C5C"/>
    <w:lvl w:ilvl="0" w:tplc="3294A5C6">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ED6B25"/>
    <w:multiLevelType w:val="hybridMultilevel"/>
    <w:tmpl w:val="C0564542"/>
    <w:lvl w:ilvl="0" w:tplc="D72EA0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D16BF0"/>
    <w:multiLevelType w:val="hybridMultilevel"/>
    <w:tmpl w:val="E4A08C5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447"/>
        </w:tabs>
        <w:ind w:left="447" w:hanging="360"/>
      </w:p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0"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342A3C"/>
    <w:multiLevelType w:val="hybridMultilevel"/>
    <w:tmpl w:val="1B062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5165CF"/>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25499770">
    <w:abstractNumId w:val="5"/>
  </w:num>
  <w:num w:numId="2" w16cid:durableId="1388643838">
    <w:abstractNumId w:val="8"/>
  </w:num>
  <w:num w:numId="3" w16cid:durableId="2129732997">
    <w:abstractNumId w:val="0"/>
  </w:num>
  <w:num w:numId="4" w16cid:durableId="674500081">
    <w:abstractNumId w:val="10"/>
  </w:num>
  <w:num w:numId="5" w16cid:durableId="1143693571">
    <w:abstractNumId w:val="6"/>
  </w:num>
  <w:num w:numId="6" w16cid:durableId="871381610">
    <w:abstractNumId w:val="4"/>
  </w:num>
  <w:num w:numId="7" w16cid:durableId="886527837">
    <w:abstractNumId w:val="1"/>
  </w:num>
  <w:num w:numId="8" w16cid:durableId="2143190258">
    <w:abstractNumId w:val="12"/>
  </w:num>
  <w:num w:numId="9" w16cid:durableId="749232890">
    <w:abstractNumId w:val="9"/>
  </w:num>
  <w:num w:numId="10" w16cid:durableId="541983341">
    <w:abstractNumId w:val="7"/>
  </w:num>
  <w:num w:numId="11" w16cid:durableId="788938676">
    <w:abstractNumId w:val="2"/>
  </w:num>
  <w:num w:numId="12" w16cid:durableId="1426222733">
    <w:abstractNumId w:val="11"/>
  </w:num>
  <w:num w:numId="13" w16cid:durableId="1301228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AC"/>
    <w:rsid w:val="00000265"/>
    <w:rsid w:val="000162BF"/>
    <w:rsid w:val="00023227"/>
    <w:rsid w:val="0002401E"/>
    <w:rsid w:val="00026311"/>
    <w:rsid w:val="000326CD"/>
    <w:rsid w:val="00033590"/>
    <w:rsid w:val="00034044"/>
    <w:rsid w:val="000369FB"/>
    <w:rsid w:val="00047442"/>
    <w:rsid w:val="00067EC6"/>
    <w:rsid w:val="00083AA6"/>
    <w:rsid w:val="00095B68"/>
    <w:rsid w:val="00097F88"/>
    <w:rsid w:val="000D2D51"/>
    <w:rsid w:val="000D79C5"/>
    <w:rsid w:val="000E2B18"/>
    <w:rsid w:val="000E7BFA"/>
    <w:rsid w:val="000E7C84"/>
    <w:rsid w:val="00100623"/>
    <w:rsid w:val="00105A51"/>
    <w:rsid w:val="00124A14"/>
    <w:rsid w:val="0013438C"/>
    <w:rsid w:val="00141A88"/>
    <w:rsid w:val="00145589"/>
    <w:rsid w:val="00153079"/>
    <w:rsid w:val="0016023D"/>
    <w:rsid w:val="00160D24"/>
    <w:rsid w:val="00171B35"/>
    <w:rsid w:val="001739D8"/>
    <w:rsid w:val="00183B47"/>
    <w:rsid w:val="00196252"/>
    <w:rsid w:val="001A7AA8"/>
    <w:rsid w:val="001B0852"/>
    <w:rsid w:val="001B22D9"/>
    <w:rsid w:val="001C4ABB"/>
    <w:rsid w:val="001E7EF6"/>
    <w:rsid w:val="00206DED"/>
    <w:rsid w:val="002154B8"/>
    <w:rsid w:val="002156B7"/>
    <w:rsid w:val="002230D8"/>
    <w:rsid w:val="0022684C"/>
    <w:rsid w:val="00230A0E"/>
    <w:rsid w:val="002313DF"/>
    <w:rsid w:val="00242F6E"/>
    <w:rsid w:val="00243F03"/>
    <w:rsid w:val="00250CF8"/>
    <w:rsid w:val="00253563"/>
    <w:rsid w:val="0026215B"/>
    <w:rsid w:val="0027435E"/>
    <w:rsid w:val="002779D8"/>
    <w:rsid w:val="00282647"/>
    <w:rsid w:val="002903AC"/>
    <w:rsid w:val="002A27A9"/>
    <w:rsid w:val="002A6C41"/>
    <w:rsid w:val="002B6EA4"/>
    <w:rsid w:val="002D0F99"/>
    <w:rsid w:val="002E437F"/>
    <w:rsid w:val="00306DC7"/>
    <w:rsid w:val="00317A3E"/>
    <w:rsid w:val="00332917"/>
    <w:rsid w:val="003345E7"/>
    <w:rsid w:val="00360184"/>
    <w:rsid w:val="0037741A"/>
    <w:rsid w:val="00383478"/>
    <w:rsid w:val="00391727"/>
    <w:rsid w:val="003A5C3F"/>
    <w:rsid w:val="003C4AC6"/>
    <w:rsid w:val="003F4121"/>
    <w:rsid w:val="003F5508"/>
    <w:rsid w:val="003F7342"/>
    <w:rsid w:val="00400672"/>
    <w:rsid w:val="0040225E"/>
    <w:rsid w:val="00415F10"/>
    <w:rsid w:val="0042776C"/>
    <w:rsid w:val="0043425C"/>
    <w:rsid w:val="004362E2"/>
    <w:rsid w:val="00454FDD"/>
    <w:rsid w:val="004571EF"/>
    <w:rsid w:val="0047136D"/>
    <w:rsid w:val="004820CE"/>
    <w:rsid w:val="00492C51"/>
    <w:rsid w:val="004B560F"/>
    <w:rsid w:val="004D322A"/>
    <w:rsid w:val="004D4259"/>
    <w:rsid w:val="004D67FA"/>
    <w:rsid w:val="004E2788"/>
    <w:rsid w:val="00500A6C"/>
    <w:rsid w:val="00500C58"/>
    <w:rsid w:val="005035AC"/>
    <w:rsid w:val="005159EE"/>
    <w:rsid w:val="00523F73"/>
    <w:rsid w:val="00553B92"/>
    <w:rsid w:val="00555EEA"/>
    <w:rsid w:val="0056049D"/>
    <w:rsid w:val="00575414"/>
    <w:rsid w:val="00591F32"/>
    <w:rsid w:val="005A17AB"/>
    <w:rsid w:val="005B30B2"/>
    <w:rsid w:val="005E4B96"/>
    <w:rsid w:val="00603D42"/>
    <w:rsid w:val="00625CA1"/>
    <w:rsid w:val="00627691"/>
    <w:rsid w:val="0064237A"/>
    <w:rsid w:val="00645964"/>
    <w:rsid w:val="006525F7"/>
    <w:rsid w:val="006616D9"/>
    <w:rsid w:val="00664FF6"/>
    <w:rsid w:val="0067484E"/>
    <w:rsid w:val="00677F87"/>
    <w:rsid w:val="00696CF9"/>
    <w:rsid w:val="006C4E87"/>
    <w:rsid w:val="006D0E89"/>
    <w:rsid w:val="006D104C"/>
    <w:rsid w:val="006D2501"/>
    <w:rsid w:val="006E6E90"/>
    <w:rsid w:val="006F5B61"/>
    <w:rsid w:val="006F5C02"/>
    <w:rsid w:val="00705C3D"/>
    <w:rsid w:val="00706D14"/>
    <w:rsid w:val="00716479"/>
    <w:rsid w:val="00717E5A"/>
    <w:rsid w:val="00722B9C"/>
    <w:rsid w:val="0073766F"/>
    <w:rsid w:val="00743846"/>
    <w:rsid w:val="00745579"/>
    <w:rsid w:val="007532C4"/>
    <w:rsid w:val="00775678"/>
    <w:rsid w:val="007A2CEC"/>
    <w:rsid w:val="007A3802"/>
    <w:rsid w:val="007A7E75"/>
    <w:rsid w:val="007B2783"/>
    <w:rsid w:val="007C25B1"/>
    <w:rsid w:val="007D0C56"/>
    <w:rsid w:val="007D1A1C"/>
    <w:rsid w:val="007E3017"/>
    <w:rsid w:val="007E5008"/>
    <w:rsid w:val="007E591A"/>
    <w:rsid w:val="00802B75"/>
    <w:rsid w:val="0080798A"/>
    <w:rsid w:val="00814644"/>
    <w:rsid w:val="00816C54"/>
    <w:rsid w:val="00817843"/>
    <w:rsid w:val="008234BF"/>
    <w:rsid w:val="008274EF"/>
    <w:rsid w:val="00851D2D"/>
    <w:rsid w:val="00855555"/>
    <w:rsid w:val="00872F04"/>
    <w:rsid w:val="00875B05"/>
    <w:rsid w:val="00880DD4"/>
    <w:rsid w:val="00882CE6"/>
    <w:rsid w:val="0088338B"/>
    <w:rsid w:val="00885F02"/>
    <w:rsid w:val="00891A4E"/>
    <w:rsid w:val="0089524F"/>
    <w:rsid w:val="008A09F5"/>
    <w:rsid w:val="008A3561"/>
    <w:rsid w:val="008C0610"/>
    <w:rsid w:val="008C1389"/>
    <w:rsid w:val="008D0118"/>
    <w:rsid w:val="008D25A4"/>
    <w:rsid w:val="008D2EC8"/>
    <w:rsid w:val="008F5B11"/>
    <w:rsid w:val="009160F2"/>
    <w:rsid w:val="00924861"/>
    <w:rsid w:val="0093705D"/>
    <w:rsid w:val="00961E1D"/>
    <w:rsid w:val="009648AE"/>
    <w:rsid w:val="00974787"/>
    <w:rsid w:val="009929F2"/>
    <w:rsid w:val="009A7C43"/>
    <w:rsid w:val="009B6443"/>
    <w:rsid w:val="009B69AC"/>
    <w:rsid w:val="009B70A1"/>
    <w:rsid w:val="009E0AEA"/>
    <w:rsid w:val="009F6646"/>
    <w:rsid w:val="00A03A1D"/>
    <w:rsid w:val="00A043E5"/>
    <w:rsid w:val="00A2693B"/>
    <w:rsid w:val="00A322B6"/>
    <w:rsid w:val="00A42231"/>
    <w:rsid w:val="00A53549"/>
    <w:rsid w:val="00A55DE2"/>
    <w:rsid w:val="00A57013"/>
    <w:rsid w:val="00A70EA4"/>
    <w:rsid w:val="00A7237C"/>
    <w:rsid w:val="00A85473"/>
    <w:rsid w:val="00A85F72"/>
    <w:rsid w:val="00A971D7"/>
    <w:rsid w:val="00AA1235"/>
    <w:rsid w:val="00AA3EDC"/>
    <w:rsid w:val="00AB30D0"/>
    <w:rsid w:val="00AB7CF0"/>
    <w:rsid w:val="00AC7112"/>
    <w:rsid w:val="00AF0867"/>
    <w:rsid w:val="00B002C1"/>
    <w:rsid w:val="00B20B05"/>
    <w:rsid w:val="00B32A3E"/>
    <w:rsid w:val="00B34E61"/>
    <w:rsid w:val="00B3786A"/>
    <w:rsid w:val="00B646FE"/>
    <w:rsid w:val="00B6798D"/>
    <w:rsid w:val="00B74C43"/>
    <w:rsid w:val="00B87445"/>
    <w:rsid w:val="00B9658C"/>
    <w:rsid w:val="00BF4925"/>
    <w:rsid w:val="00C0262F"/>
    <w:rsid w:val="00C13F9C"/>
    <w:rsid w:val="00C14217"/>
    <w:rsid w:val="00C2257F"/>
    <w:rsid w:val="00C24340"/>
    <w:rsid w:val="00C5034E"/>
    <w:rsid w:val="00C66384"/>
    <w:rsid w:val="00C87332"/>
    <w:rsid w:val="00CB74FF"/>
    <w:rsid w:val="00CE1169"/>
    <w:rsid w:val="00CE3ED3"/>
    <w:rsid w:val="00CE4EF1"/>
    <w:rsid w:val="00CE6BEF"/>
    <w:rsid w:val="00CF5DDF"/>
    <w:rsid w:val="00D110BD"/>
    <w:rsid w:val="00D21F15"/>
    <w:rsid w:val="00D531BB"/>
    <w:rsid w:val="00D532A2"/>
    <w:rsid w:val="00D53CAE"/>
    <w:rsid w:val="00D57B25"/>
    <w:rsid w:val="00D66220"/>
    <w:rsid w:val="00D73614"/>
    <w:rsid w:val="00D767BB"/>
    <w:rsid w:val="00D77CE9"/>
    <w:rsid w:val="00DA2C5E"/>
    <w:rsid w:val="00DB5412"/>
    <w:rsid w:val="00DB620C"/>
    <w:rsid w:val="00DB7DD6"/>
    <w:rsid w:val="00DD4930"/>
    <w:rsid w:val="00DD608D"/>
    <w:rsid w:val="00DE2B89"/>
    <w:rsid w:val="00DF3016"/>
    <w:rsid w:val="00E053C5"/>
    <w:rsid w:val="00E17C58"/>
    <w:rsid w:val="00E21EFA"/>
    <w:rsid w:val="00E22F0D"/>
    <w:rsid w:val="00E25B88"/>
    <w:rsid w:val="00E32673"/>
    <w:rsid w:val="00E4461A"/>
    <w:rsid w:val="00E46096"/>
    <w:rsid w:val="00E616EA"/>
    <w:rsid w:val="00E646C8"/>
    <w:rsid w:val="00E66D74"/>
    <w:rsid w:val="00E670FF"/>
    <w:rsid w:val="00E83EDE"/>
    <w:rsid w:val="00E93AE3"/>
    <w:rsid w:val="00E93F06"/>
    <w:rsid w:val="00EA1F92"/>
    <w:rsid w:val="00EA3E1A"/>
    <w:rsid w:val="00EA7EFF"/>
    <w:rsid w:val="00EB7622"/>
    <w:rsid w:val="00EB773B"/>
    <w:rsid w:val="00EC29CE"/>
    <w:rsid w:val="00EE2045"/>
    <w:rsid w:val="00F02B4C"/>
    <w:rsid w:val="00F06A34"/>
    <w:rsid w:val="00F40470"/>
    <w:rsid w:val="00F44E04"/>
    <w:rsid w:val="00F53CCD"/>
    <w:rsid w:val="00F6608C"/>
    <w:rsid w:val="00F83A7A"/>
    <w:rsid w:val="00F86533"/>
    <w:rsid w:val="00F878DF"/>
    <w:rsid w:val="00FA543A"/>
    <w:rsid w:val="00FA5C5A"/>
    <w:rsid w:val="00FB0D56"/>
    <w:rsid w:val="00FC738D"/>
    <w:rsid w:val="00FF1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01B43"/>
  <w15:chartTrackingRefBased/>
  <w15:docId w15:val="{F52DC569-6D5A-4ADF-BD27-512D56F1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3AC"/>
    <w:pPr>
      <w:spacing w:after="0" w:line="240" w:lineRule="auto"/>
    </w:pPr>
    <w:rPr>
      <w:rFonts w:ascii="Times" w:eastAsia="Batang" w:hAnsi="Times" w:cs="Times New Roman"/>
      <w:sz w:val="20"/>
      <w:szCs w:val="24"/>
      <w:lang w:val="en-GB"/>
    </w:rPr>
  </w:style>
  <w:style w:type="paragraph" w:styleId="Heading1">
    <w:name w:val="heading 1"/>
    <w:aliases w:val="H1,h1,Heading 1 3GPP"/>
    <w:next w:val="Normal"/>
    <w:link w:val="Heading1Char"/>
    <w:qFormat/>
    <w:rsid w:val="00DA2C5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7478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6608C"/>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3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2903AC"/>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2903AC"/>
    <w:rPr>
      <w:rFonts w:ascii="Times" w:eastAsia="Batang" w:hAnsi="Times" w:cs="Times New Roman"/>
      <w:sz w:val="20"/>
      <w:szCs w:val="24"/>
      <w:lang w:val="en-GB"/>
    </w:rPr>
  </w:style>
  <w:style w:type="paragraph" w:styleId="Caption">
    <w:name w:val="caption"/>
    <w:basedOn w:val="Normal"/>
    <w:next w:val="Normal"/>
    <w:uiPriority w:val="35"/>
    <w:unhideWhenUsed/>
    <w:qFormat/>
    <w:rsid w:val="000D79C5"/>
    <w:pPr>
      <w:spacing w:after="200"/>
    </w:pPr>
    <w:rPr>
      <w:i/>
      <w:iCs/>
      <w:color w:val="44546A" w:themeColor="text2"/>
      <w:sz w:val="18"/>
      <w:szCs w:val="18"/>
    </w:rPr>
  </w:style>
  <w:style w:type="paragraph" w:customStyle="1" w:styleId="Proposal">
    <w:name w:val="Proposal"/>
    <w:basedOn w:val="Normal"/>
    <w:qFormat/>
    <w:rsid w:val="00743846"/>
    <w:pPr>
      <w:tabs>
        <w:tab w:val="num" w:pos="1304"/>
        <w:tab w:val="left" w:pos="1701"/>
      </w:tabs>
      <w:overflowPunct w:val="0"/>
      <w:autoSpaceDE w:val="0"/>
      <w:autoSpaceDN w:val="0"/>
      <w:adjustRightInd w:val="0"/>
      <w:spacing w:after="120"/>
      <w:ind w:left="1304" w:hanging="1304"/>
      <w:jc w:val="both"/>
      <w:textAlignment w:val="baseline"/>
    </w:pPr>
    <w:rPr>
      <w:rFonts w:ascii="Arial" w:eastAsia="Times New Roman" w:hAnsi="Arial"/>
      <w:b/>
      <w:bCs/>
      <w:szCs w:val="20"/>
      <w:lang w:eastAsia="zh-CN"/>
    </w:rPr>
  </w:style>
  <w:style w:type="character" w:styleId="CommentReference">
    <w:name w:val="annotation reference"/>
    <w:basedOn w:val="DefaultParagraphFont"/>
    <w:qFormat/>
    <w:rsid w:val="00183B47"/>
    <w:rPr>
      <w:sz w:val="16"/>
      <w:szCs w:val="16"/>
    </w:rPr>
  </w:style>
  <w:style w:type="paragraph" w:styleId="CommentText">
    <w:name w:val="annotation text"/>
    <w:basedOn w:val="Normal"/>
    <w:link w:val="CommentTextChar"/>
    <w:qFormat/>
    <w:rsid w:val="00183B47"/>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CommentTextChar">
    <w:name w:val="Comment Text Char"/>
    <w:basedOn w:val="DefaultParagraphFont"/>
    <w:link w:val="CommentText"/>
    <w:qFormat/>
    <w:rsid w:val="00183B47"/>
    <w:rPr>
      <w:rFonts w:ascii="Times New Roman" w:eastAsia="Times New Roman" w:hAnsi="Times New Roman" w:cs="Times New Roman"/>
      <w:sz w:val="20"/>
      <w:szCs w:val="20"/>
      <w:lang w:val="en-GB" w:eastAsia="ja-JP"/>
    </w:rPr>
  </w:style>
  <w:style w:type="character" w:customStyle="1" w:styleId="Heading1Char">
    <w:name w:val="Heading 1 Char"/>
    <w:aliases w:val="H1 Char,h1 Char,Heading 1 3GPP Char"/>
    <w:basedOn w:val="DefaultParagraphFont"/>
    <w:link w:val="Heading1"/>
    <w:rsid w:val="00DA2C5E"/>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74787"/>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9648AE"/>
    <w:pPr>
      <w:spacing w:after="0" w:line="240" w:lineRule="auto"/>
    </w:pPr>
    <w:rPr>
      <w:rFonts w:ascii="Times" w:eastAsia="Batang" w:hAnsi="Times" w:cs="Times New Roman"/>
      <w:sz w:val="20"/>
      <w:szCs w:val="24"/>
      <w:lang w:val="en-GB"/>
    </w:rPr>
  </w:style>
  <w:style w:type="character" w:customStyle="1" w:styleId="Heading3Char">
    <w:name w:val="Heading 3 Char"/>
    <w:basedOn w:val="DefaultParagraphFont"/>
    <w:link w:val="Heading3"/>
    <w:uiPriority w:val="9"/>
    <w:semiHidden/>
    <w:rsid w:val="00F6608C"/>
    <w:rPr>
      <w:rFonts w:asciiTheme="majorHAnsi" w:eastAsiaTheme="majorEastAsia" w:hAnsiTheme="majorHAnsi" w:cstheme="majorBidi"/>
      <w:color w:val="1F3763" w:themeColor="accent1" w:themeShade="7F"/>
      <w:sz w:val="24"/>
      <w:szCs w:val="24"/>
      <w:lang w:val="en-GB"/>
    </w:rPr>
  </w:style>
  <w:style w:type="paragraph" w:styleId="FootnoteText">
    <w:name w:val="footnote text"/>
    <w:basedOn w:val="Normal"/>
    <w:link w:val="FootnoteTextChar"/>
    <w:uiPriority w:val="99"/>
    <w:semiHidden/>
    <w:unhideWhenUsed/>
    <w:rsid w:val="007B2783"/>
    <w:rPr>
      <w:szCs w:val="20"/>
    </w:rPr>
  </w:style>
  <w:style w:type="character" w:customStyle="1" w:styleId="FootnoteTextChar">
    <w:name w:val="Footnote Text Char"/>
    <w:basedOn w:val="DefaultParagraphFont"/>
    <w:link w:val="FootnoteText"/>
    <w:uiPriority w:val="99"/>
    <w:semiHidden/>
    <w:rsid w:val="007B2783"/>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7B2783"/>
    <w:rPr>
      <w:vertAlign w:val="superscript"/>
    </w:rPr>
  </w:style>
  <w:style w:type="paragraph" w:styleId="Header">
    <w:name w:val="header"/>
    <w:basedOn w:val="Normal"/>
    <w:link w:val="HeaderChar"/>
    <w:uiPriority w:val="99"/>
    <w:unhideWhenUsed/>
    <w:rsid w:val="00E616E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616EA"/>
    <w:rPr>
      <w:rFonts w:ascii="Times" w:eastAsia="Batang" w:hAnsi="Times" w:cs="Times New Roman"/>
      <w:sz w:val="18"/>
      <w:szCs w:val="18"/>
      <w:lang w:val="en-GB"/>
    </w:rPr>
  </w:style>
  <w:style w:type="paragraph" w:styleId="Footer">
    <w:name w:val="footer"/>
    <w:basedOn w:val="Normal"/>
    <w:link w:val="FooterChar"/>
    <w:uiPriority w:val="99"/>
    <w:unhideWhenUsed/>
    <w:rsid w:val="00E616E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616EA"/>
    <w:rPr>
      <w:rFonts w:ascii="Times" w:eastAsia="Batang" w:hAnsi="Times" w:cs="Times New Roman"/>
      <w:sz w:val="18"/>
      <w:szCs w:val="18"/>
      <w:lang w:val="en-GB"/>
    </w:rPr>
  </w:style>
  <w:style w:type="paragraph" w:styleId="CommentSubject">
    <w:name w:val="annotation subject"/>
    <w:basedOn w:val="CommentText"/>
    <w:next w:val="CommentText"/>
    <w:link w:val="CommentSubjectChar"/>
    <w:uiPriority w:val="99"/>
    <w:semiHidden/>
    <w:unhideWhenUsed/>
    <w:rsid w:val="00E616EA"/>
    <w:pPr>
      <w:overflowPunct/>
      <w:autoSpaceDE/>
      <w:autoSpaceDN/>
      <w:adjustRightInd/>
      <w:spacing w:after="0"/>
      <w:textAlignment w:val="auto"/>
    </w:pPr>
    <w:rPr>
      <w:rFonts w:ascii="Times" w:eastAsia="Batang" w:hAnsi="Times"/>
      <w:b/>
      <w:bCs/>
      <w:szCs w:val="24"/>
      <w:lang w:eastAsia="en-US"/>
    </w:rPr>
  </w:style>
  <w:style w:type="character" w:customStyle="1" w:styleId="CommentSubjectChar">
    <w:name w:val="Comment Subject Char"/>
    <w:basedOn w:val="CommentTextChar"/>
    <w:link w:val="CommentSubject"/>
    <w:uiPriority w:val="99"/>
    <w:semiHidden/>
    <w:rsid w:val="00E616EA"/>
    <w:rPr>
      <w:rFonts w:ascii="Times" w:eastAsia="Batang" w:hAnsi="Times" w:cs="Times New Roman"/>
      <w:b/>
      <w:bCs/>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826061">
      <w:bodyDiv w:val="1"/>
      <w:marLeft w:val="0"/>
      <w:marRight w:val="0"/>
      <w:marTop w:val="0"/>
      <w:marBottom w:val="0"/>
      <w:divBdr>
        <w:top w:val="none" w:sz="0" w:space="0" w:color="auto"/>
        <w:left w:val="none" w:sz="0" w:space="0" w:color="auto"/>
        <w:bottom w:val="none" w:sz="0" w:space="0" w:color="auto"/>
        <w:right w:val="none" w:sz="0" w:space="0" w:color="auto"/>
      </w:divBdr>
    </w:div>
    <w:div w:id="2042973251">
      <w:bodyDiv w:val="1"/>
      <w:marLeft w:val="0"/>
      <w:marRight w:val="0"/>
      <w:marTop w:val="0"/>
      <w:marBottom w:val="0"/>
      <w:divBdr>
        <w:top w:val="none" w:sz="0" w:space="0" w:color="auto"/>
        <w:left w:val="none" w:sz="0" w:space="0" w:color="auto"/>
        <w:bottom w:val="none" w:sz="0" w:space="0" w:color="auto"/>
        <w:right w:val="none" w:sz="0" w:space="0" w:color="auto"/>
      </w:divBdr>
    </w:div>
    <w:div w:id="20869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B59D0-5419-45FA-A3BE-1455A39E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6</cp:revision>
  <dcterms:created xsi:type="dcterms:W3CDTF">2023-04-05T12:14:00Z</dcterms:created>
  <dcterms:modified xsi:type="dcterms:W3CDTF">2023-04-06T20:17:00Z</dcterms:modified>
</cp:coreProperties>
</file>